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C8F111" w14:textId="77777777" w:rsidR="005B0254" w:rsidRPr="00C640D6" w:rsidRDefault="005B0254" w:rsidP="00C526AB">
      <w:pPr>
        <w:jc w:val="center"/>
        <w:rPr>
          <w:rFonts w:cs="Times New Roman"/>
        </w:rPr>
      </w:pPr>
      <w:r w:rsidRPr="00C640D6">
        <w:rPr>
          <w:rFonts w:cs="Times New Roman"/>
        </w:rPr>
        <w:t>Exploration of a Novel Treatment Method for Hemochromatosis</w:t>
      </w:r>
    </w:p>
    <w:p w14:paraId="1B73C08E" w14:textId="77777777" w:rsidR="005B0254" w:rsidRPr="00C640D6" w:rsidRDefault="005B0254" w:rsidP="00C526AB">
      <w:pPr>
        <w:jc w:val="center"/>
        <w:rPr>
          <w:rFonts w:cs="Times New Roman"/>
        </w:rPr>
      </w:pPr>
      <w:r w:rsidRPr="00C640D6">
        <w:rPr>
          <w:rFonts w:cs="Times New Roman"/>
        </w:rPr>
        <w:t>Ellie Pitcher</w:t>
      </w:r>
    </w:p>
    <w:p w14:paraId="79E74B7E" w14:textId="77777777" w:rsidR="005B0254" w:rsidRPr="00C640D6" w:rsidRDefault="005B0254" w:rsidP="00C526AB">
      <w:pPr>
        <w:jc w:val="center"/>
        <w:rPr>
          <w:rFonts w:cs="Times New Roman"/>
        </w:rPr>
      </w:pPr>
      <w:r w:rsidRPr="00C640D6">
        <w:rPr>
          <w:rFonts w:cs="Times New Roman"/>
        </w:rPr>
        <w:t>Dr. Jeremy McCallum</w:t>
      </w:r>
    </w:p>
    <w:p w14:paraId="554E84D0" w14:textId="77777777" w:rsidR="000901BC" w:rsidRDefault="000901BC" w:rsidP="00C526AB">
      <w:pPr>
        <w:jc w:val="center"/>
        <w:rPr>
          <w:rFonts w:cs="Times New Roman"/>
        </w:rPr>
      </w:pPr>
    </w:p>
    <w:p w14:paraId="246AED1C" w14:textId="77777777" w:rsidR="00F0090F" w:rsidRPr="00C640D6" w:rsidRDefault="00F0090F" w:rsidP="00C526AB">
      <w:pPr>
        <w:jc w:val="center"/>
        <w:rPr>
          <w:rFonts w:cs="Times New Roman"/>
        </w:rPr>
      </w:pPr>
    </w:p>
    <w:p w14:paraId="73D27D7C" w14:textId="77777777" w:rsidR="004972D0" w:rsidRPr="00C640D6" w:rsidRDefault="000901BC" w:rsidP="00763E45">
      <w:pPr>
        <w:rPr>
          <w:rFonts w:cs="Times New Roman"/>
        </w:rPr>
      </w:pPr>
      <w:r w:rsidRPr="00C640D6">
        <w:rPr>
          <w:rFonts w:cs="Times New Roman"/>
        </w:rPr>
        <w:t>Abstract:</w:t>
      </w:r>
    </w:p>
    <w:p w14:paraId="401EFDBB" w14:textId="2C703496" w:rsidR="00763E45" w:rsidRPr="00C640D6" w:rsidRDefault="004972D0" w:rsidP="00F0090F">
      <w:pPr>
        <w:ind w:firstLine="720"/>
        <w:rPr>
          <w:rFonts w:cs="Times New Roman"/>
        </w:rPr>
      </w:pPr>
      <w:r w:rsidRPr="00C640D6">
        <w:rPr>
          <w:rFonts w:cs="Times New Roman"/>
        </w:rPr>
        <w:t>Hemochromatosis is the most common genetic disease in white people; it is characterized by progressive iron accumulation, which can lead to organ dysfunction and death.  There are three treatment options: phlebotomy, pharmaceuticals, and dietary management.  For patients who cann</w:t>
      </w:r>
      <w:r w:rsidR="00A56DC5" w:rsidRPr="00C640D6">
        <w:rPr>
          <w:rFonts w:cs="Times New Roman"/>
        </w:rPr>
        <w:t>ot use the first two, diet is</w:t>
      </w:r>
      <w:r w:rsidRPr="00C640D6">
        <w:rPr>
          <w:rFonts w:cs="Times New Roman"/>
        </w:rPr>
        <w:t xml:space="preserve"> essential </w:t>
      </w:r>
      <w:r w:rsidR="00A56DC5" w:rsidRPr="00C640D6">
        <w:rPr>
          <w:rFonts w:cs="Times New Roman"/>
        </w:rPr>
        <w:t>to</w:t>
      </w:r>
      <w:r w:rsidRPr="00C640D6">
        <w:rPr>
          <w:rFonts w:cs="Times New Roman"/>
        </w:rPr>
        <w:t xml:space="preserve"> managing the disease.  However, more research is needed to understand how diet can be fully utilized as a treatment method.  There is hope that natural iron chelators, such as oxalate</w:t>
      </w:r>
      <w:r w:rsidR="00F73A53" w:rsidRPr="00C640D6">
        <w:rPr>
          <w:rFonts w:cs="Times New Roman"/>
        </w:rPr>
        <w:t>s</w:t>
      </w:r>
      <w:r w:rsidRPr="00C640D6">
        <w:rPr>
          <w:rFonts w:cs="Times New Roman"/>
        </w:rPr>
        <w:t>, can be used to reduce di</w:t>
      </w:r>
      <w:r w:rsidR="00F73A53" w:rsidRPr="00C640D6">
        <w:rPr>
          <w:rFonts w:cs="Times New Roman"/>
        </w:rPr>
        <w:t>etary iron absorption.  Oxalates are common</w:t>
      </w:r>
      <w:r w:rsidRPr="00C640D6">
        <w:rPr>
          <w:rFonts w:cs="Times New Roman"/>
        </w:rPr>
        <w:t xml:space="preserve"> in vegetables such as spinach</w:t>
      </w:r>
      <w:r w:rsidR="00F73A53" w:rsidRPr="00C640D6">
        <w:rPr>
          <w:rFonts w:cs="Times New Roman"/>
        </w:rPr>
        <w:t>; however, previous research suggests that the application of heat to plants containing oxalates can reduce their iron chelation potential</w:t>
      </w:r>
      <w:r w:rsidRPr="00C640D6">
        <w:rPr>
          <w:rFonts w:cs="Times New Roman"/>
        </w:rPr>
        <w:t>.  This study proposes to evaluate the effectivene</w:t>
      </w:r>
      <w:r w:rsidR="00F73A53" w:rsidRPr="00C640D6">
        <w:rPr>
          <w:rFonts w:cs="Times New Roman"/>
        </w:rPr>
        <w:t xml:space="preserve">ss of </w:t>
      </w:r>
      <w:r w:rsidR="0072611C" w:rsidRPr="00C640D6">
        <w:rPr>
          <w:rFonts w:cs="Times New Roman"/>
        </w:rPr>
        <w:t xml:space="preserve">consumption of </w:t>
      </w:r>
      <w:r w:rsidR="00F73A53" w:rsidRPr="00C640D6">
        <w:rPr>
          <w:rFonts w:cs="Times New Roman"/>
        </w:rPr>
        <w:t xml:space="preserve">oxalates in spinach </w:t>
      </w:r>
      <w:r w:rsidR="0072611C" w:rsidRPr="00C640D6">
        <w:rPr>
          <w:rFonts w:cs="Times New Roman"/>
        </w:rPr>
        <w:t>for decreasing dietary iron absorption</w:t>
      </w:r>
      <w:r w:rsidR="00A56DC5" w:rsidRPr="00C640D6">
        <w:rPr>
          <w:rFonts w:cs="Times New Roman"/>
        </w:rPr>
        <w:t>, taking into consideration the effect of heat on spinach preparation</w:t>
      </w:r>
      <w:r w:rsidR="00F73A53" w:rsidRPr="00C640D6">
        <w:rPr>
          <w:rFonts w:cs="Times New Roman"/>
        </w:rPr>
        <w:t xml:space="preserve">.  Participants will consume spinach prepared </w:t>
      </w:r>
      <w:r w:rsidR="0072611C" w:rsidRPr="00C640D6">
        <w:rPr>
          <w:rFonts w:cs="Times New Roman"/>
        </w:rPr>
        <w:t xml:space="preserve">at home </w:t>
      </w:r>
      <w:r w:rsidR="00F73A53" w:rsidRPr="00C640D6">
        <w:rPr>
          <w:rFonts w:cs="Times New Roman"/>
        </w:rPr>
        <w:t>via</w:t>
      </w:r>
      <w:r w:rsidR="0072611C" w:rsidRPr="00C640D6">
        <w:rPr>
          <w:rFonts w:cs="Times New Roman"/>
        </w:rPr>
        <w:t xml:space="preserve"> blanching</w:t>
      </w:r>
      <w:r w:rsidR="00A56DC5" w:rsidRPr="00C640D6">
        <w:rPr>
          <w:rFonts w:cs="Times New Roman"/>
        </w:rPr>
        <w:t xml:space="preserve"> for pre-determined times while other factors that affect iron absorption are controlled</w:t>
      </w:r>
      <w:r w:rsidR="0072611C" w:rsidRPr="00C640D6">
        <w:rPr>
          <w:rFonts w:cs="Times New Roman"/>
        </w:rPr>
        <w:t xml:space="preserve">.  </w:t>
      </w:r>
      <w:r w:rsidR="00D6393A">
        <w:rPr>
          <w:rFonts w:cs="Times New Roman"/>
        </w:rPr>
        <w:t>Iron</w:t>
      </w:r>
      <w:r w:rsidR="0072611C" w:rsidRPr="00C640D6">
        <w:rPr>
          <w:rFonts w:cs="Times New Roman"/>
        </w:rPr>
        <w:t xml:space="preserve"> and oxalate levels will be evaluated before </w:t>
      </w:r>
      <w:r w:rsidR="00A56DC5" w:rsidRPr="00C640D6">
        <w:rPr>
          <w:rFonts w:cs="Times New Roman"/>
        </w:rPr>
        <w:t>and after spinach consumption, and then compared to determine if oxalates in spinach increase or decrease dietary iron absorption.</w:t>
      </w:r>
      <w:r w:rsidR="00080191">
        <w:rPr>
          <w:rFonts w:cs="Times New Roman"/>
        </w:rPr>
        <w:t xml:space="preserve">  The results will be significant to future hemochromatosis dietary management.</w:t>
      </w:r>
      <w:r w:rsidR="00763E45" w:rsidRPr="00C640D6">
        <w:rPr>
          <w:rFonts w:cs="Times New Roman"/>
        </w:rPr>
        <w:br w:type="page"/>
      </w:r>
    </w:p>
    <w:p w14:paraId="0E1AC203" w14:textId="2B1787A2" w:rsidR="004A11BC" w:rsidRPr="00C640D6" w:rsidRDefault="004A11BC" w:rsidP="008D4173">
      <w:pPr>
        <w:ind w:firstLine="720"/>
        <w:rPr>
          <w:rFonts w:cs="Times New Roman"/>
        </w:rPr>
      </w:pPr>
      <w:r w:rsidRPr="00C640D6">
        <w:rPr>
          <w:rFonts w:cs="Times New Roman"/>
        </w:rPr>
        <w:lastRenderedPageBreak/>
        <w:t>Hemochromatosis is</w:t>
      </w:r>
      <w:r w:rsidR="00E922F3" w:rsidRPr="00C640D6">
        <w:rPr>
          <w:rFonts w:cs="Times New Roman"/>
        </w:rPr>
        <w:t xml:space="preserve"> a genetic condition</w:t>
      </w:r>
      <w:r w:rsidRPr="00C640D6">
        <w:rPr>
          <w:rFonts w:cs="Times New Roman"/>
        </w:rPr>
        <w:t xml:space="preserve"> characterized by unusually efficient </w:t>
      </w:r>
      <w:r w:rsidR="00C526AB" w:rsidRPr="00C640D6">
        <w:rPr>
          <w:rFonts w:cs="Times New Roman"/>
        </w:rPr>
        <w:t xml:space="preserve">dietary </w:t>
      </w:r>
      <w:r w:rsidR="008D4173" w:rsidRPr="00C640D6">
        <w:rPr>
          <w:rFonts w:cs="Times New Roman"/>
        </w:rPr>
        <w:t xml:space="preserve">iron </w:t>
      </w:r>
      <w:r w:rsidRPr="00C640D6">
        <w:rPr>
          <w:rFonts w:cs="Times New Roman"/>
        </w:rPr>
        <w:t>absorption.</w:t>
      </w:r>
      <w:r w:rsidR="00E922F3" w:rsidRPr="00C640D6">
        <w:rPr>
          <w:rStyle w:val="FootnoteReference"/>
          <w:rFonts w:cs="Times New Roman"/>
        </w:rPr>
        <w:footnoteReference w:id="1"/>
      </w:r>
      <w:r w:rsidRPr="00C640D6">
        <w:rPr>
          <w:rFonts w:cs="Times New Roman"/>
        </w:rPr>
        <w:t xml:space="preserve">  Essentially</w:t>
      </w:r>
      <w:r w:rsidR="008D4173" w:rsidRPr="00C640D6">
        <w:rPr>
          <w:rFonts w:cs="Times New Roman"/>
        </w:rPr>
        <w:t>, more iron than</w:t>
      </w:r>
      <w:r w:rsidRPr="00C640D6">
        <w:rPr>
          <w:rFonts w:cs="Times New Roman"/>
        </w:rPr>
        <w:t xml:space="preserve"> the body requires is absorbed from </w:t>
      </w:r>
      <w:r w:rsidR="00E922F3" w:rsidRPr="00C640D6">
        <w:rPr>
          <w:rFonts w:cs="Times New Roman"/>
        </w:rPr>
        <w:t>the diet</w:t>
      </w:r>
      <w:r w:rsidRPr="00C640D6">
        <w:rPr>
          <w:rFonts w:cs="Times New Roman"/>
        </w:rPr>
        <w:t>.  This excess iron progressively accumulates thro</w:t>
      </w:r>
      <w:r w:rsidR="00C526AB" w:rsidRPr="00C640D6">
        <w:rPr>
          <w:rFonts w:cs="Times New Roman"/>
        </w:rPr>
        <w:t xml:space="preserve">ughout the body, especially in </w:t>
      </w:r>
      <w:r w:rsidR="00E922F3" w:rsidRPr="00C640D6">
        <w:rPr>
          <w:rFonts w:cs="Times New Roman"/>
        </w:rPr>
        <w:t>organs</w:t>
      </w:r>
      <w:r w:rsidRPr="00C640D6">
        <w:rPr>
          <w:rFonts w:cs="Times New Roman"/>
        </w:rPr>
        <w:t xml:space="preserve"> and joints.</w:t>
      </w:r>
      <w:r w:rsidR="00E922F3" w:rsidRPr="00C640D6">
        <w:rPr>
          <w:rStyle w:val="FootnoteReference"/>
          <w:rFonts w:cs="Times New Roman"/>
        </w:rPr>
        <w:footnoteReference w:id="2"/>
      </w:r>
      <w:r w:rsidR="008D4173" w:rsidRPr="00C640D6">
        <w:rPr>
          <w:rFonts w:cs="Times New Roman"/>
        </w:rPr>
        <w:t xml:space="preserve">  The resulting condi</w:t>
      </w:r>
      <w:r w:rsidR="00E922F3" w:rsidRPr="00C640D6">
        <w:rPr>
          <w:rFonts w:cs="Times New Roman"/>
        </w:rPr>
        <w:t>tion, massive iron overload,</w:t>
      </w:r>
      <w:r w:rsidR="008D4173" w:rsidRPr="00C640D6">
        <w:rPr>
          <w:rFonts w:cs="Times New Roman"/>
        </w:rPr>
        <w:t xml:space="preserve"> </w:t>
      </w:r>
      <w:r w:rsidR="00C526AB" w:rsidRPr="00C640D6">
        <w:rPr>
          <w:rFonts w:cs="Times New Roman"/>
        </w:rPr>
        <w:t>leads to</w:t>
      </w:r>
      <w:r w:rsidR="008D4173" w:rsidRPr="00C640D6">
        <w:rPr>
          <w:rFonts w:cs="Times New Roman"/>
        </w:rPr>
        <w:t xml:space="preserve"> </w:t>
      </w:r>
      <w:r w:rsidR="00C526AB" w:rsidRPr="00C640D6">
        <w:rPr>
          <w:rFonts w:cs="Times New Roman"/>
        </w:rPr>
        <w:t>various</w:t>
      </w:r>
      <w:r w:rsidR="008D4173" w:rsidRPr="00C640D6">
        <w:rPr>
          <w:rFonts w:cs="Times New Roman"/>
        </w:rPr>
        <w:t xml:space="preserve"> health concerns, including </w:t>
      </w:r>
      <w:r w:rsidR="00E922F3" w:rsidRPr="00C640D6">
        <w:rPr>
          <w:rFonts w:cs="Times New Roman"/>
        </w:rPr>
        <w:t>organ</w:t>
      </w:r>
      <w:r w:rsidR="008D4173" w:rsidRPr="00C640D6">
        <w:rPr>
          <w:rFonts w:cs="Times New Roman"/>
        </w:rPr>
        <w:t xml:space="preserve"> failure</w:t>
      </w:r>
      <w:r w:rsidR="00E922F3" w:rsidRPr="00C640D6">
        <w:rPr>
          <w:rFonts w:cs="Times New Roman"/>
        </w:rPr>
        <w:t xml:space="preserve"> and death.</w:t>
      </w:r>
      <w:r w:rsidR="00E922F3" w:rsidRPr="00C640D6">
        <w:rPr>
          <w:rStyle w:val="FootnoteReference"/>
          <w:rFonts w:cs="Times New Roman"/>
        </w:rPr>
        <w:footnoteReference w:id="3"/>
      </w:r>
    </w:p>
    <w:p w14:paraId="7927D415" w14:textId="51F2A0A7" w:rsidR="00E50D18" w:rsidRPr="00C640D6" w:rsidRDefault="00C526AB" w:rsidP="00530DB9">
      <w:pPr>
        <w:ind w:firstLine="720"/>
        <w:rPr>
          <w:rFonts w:cs="Times New Roman"/>
        </w:rPr>
      </w:pPr>
      <w:r w:rsidRPr="00C640D6">
        <w:rPr>
          <w:rFonts w:cs="Times New Roman"/>
        </w:rPr>
        <w:t>H</w:t>
      </w:r>
      <w:r w:rsidR="008D4173" w:rsidRPr="00C640D6">
        <w:rPr>
          <w:rFonts w:cs="Times New Roman"/>
        </w:rPr>
        <w:t xml:space="preserve">emochromatosis is </w:t>
      </w:r>
      <w:r w:rsidRPr="00C640D6">
        <w:rPr>
          <w:rFonts w:cs="Times New Roman"/>
        </w:rPr>
        <w:t>caused by certain</w:t>
      </w:r>
      <w:r w:rsidR="008D4173" w:rsidRPr="00C640D6">
        <w:rPr>
          <w:rFonts w:cs="Times New Roman"/>
        </w:rPr>
        <w:t xml:space="preserve"> gene mutations.  </w:t>
      </w:r>
      <w:r w:rsidRPr="00C640D6">
        <w:rPr>
          <w:rFonts w:cs="Times New Roman"/>
        </w:rPr>
        <w:t xml:space="preserve">The most common </w:t>
      </w:r>
      <w:r w:rsidR="00530DB9" w:rsidRPr="00C640D6">
        <w:rPr>
          <w:rFonts w:cs="Times New Roman"/>
        </w:rPr>
        <w:t>of those</w:t>
      </w:r>
      <w:r w:rsidRPr="00C640D6">
        <w:rPr>
          <w:rFonts w:cs="Times New Roman"/>
        </w:rPr>
        <w:t>, H63D, is not always symptomatic.</w:t>
      </w:r>
      <w:r w:rsidRPr="00C640D6">
        <w:rPr>
          <w:rStyle w:val="FootnoteReference"/>
          <w:rFonts w:cs="Times New Roman"/>
        </w:rPr>
        <w:t xml:space="preserve"> </w:t>
      </w:r>
      <w:r w:rsidRPr="00C640D6">
        <w:rPr>
          <w:rStyle w:val="FootnoteReference"/>
          <w:rFonts w:cs="Times New Roman"/>
        </w:rPr>
        <w:footnoteReference w:id="4"/>
      </w:r>
      <w:r w:rsidRPr="00C640D6">
        <w:rPr>
          <w:rFonts w:cs="Times New Roman"/>
        </w:rPr>
        <w:t xml:space="preserve">  </w:t>
      </w:r>
      <w:r w:rsidR="008D4173" w:rsidRPr="00C640D6">
        <w:rPr>
          <w:rFonts w:cs="Times New Roman"/>
        </w:rPr>
        <w:t>The most common</w:t>
      </w:r>
      <w:r w:rsidR="003B0419" w:rsidRPr="00C640D6">
        <w:rPr>
          <w:rFonts w:cs="Times New Roman"/>
        </w:rPr>
        <w:t>ly expressed</w:t>
      </w:r>
      <w:r w:rsidR="008D4173" w:rsidRPr="00C640D6">
        <w:rPr>
          <w:rFonts w:cs="Times New Roman"/>
        </w:rPr>
        <w:t xml:space="preserve"> </w:t>
      </w:r>
      <w:r w:rsidR="00530DB9" w:rsidRPr="00C640D6">
        <w:rPr>
          <w:rFonts w:cs="Times New Roman"/>
        </w:rPr>
        <w:t>mutation</w:t>
      </w:r>
      <w:r w:rsidR="008D4173" w:rsidRPr="00C640D6">
        <w:rPr>
          <w:rFonts w:cs="Times New Roman"/>
        </w:rPr>
        <w:t xml:space="preserve"> is the HF</w:t>
      </w:r>
      <w:r w:rsidR="00E922F3" w:rsidRPr="00C640D6">
        <w:rPr>
          <w:rFonts w:cs="Times New Roman"/>
        </w:rPr>
        <w:t>E C282Y mutation on chromosome six, which results in the substitution of tyrosine for cysteine in the corresponding HFE protein</w:t>
      </w:r>
      <w:r w:rsidR="008D4173" w:rsidRPr="00C640D6">
        <w:rPr>
          <w:rFonts w:cs="Times New Roman"/>
        </w:rPr>
        <w:t>.</w:t>
      </w:r>
      <w:r w:rsidR="00E922F3" w:rsidRPr="00C640D6">
        <w:rPr>
          <w:rStyle w:val="FootnoteReference"/>
          <w:rFonts w:cs="Times New Roman"/>
        </w:rPr>
        <w:footnoteReference w:id="5"/>
      </w:r>
      <w:r w:rsidR="003B0419" w:rsidRPr="00C640D6">
        <w:rPr>
          <w:rFonts w:cs="Times New Roman"/>
        </w:rPr>
        <w:t xml:space="preserve"> </w:t>
      </w:r>
      <w:r w:rsidR="00530DB9" w:rsidRPr="00C640D6">
        <w:rPr>
          <w:rFonts w:cs="Times New Roman"/>
        </w:rPr>
        <w:t xml:space="preserve"> </w:t>
      </w:r>
      <w:r w:rsidR="00E50D18" w:rsidRPr="00C640D6">
        <w:rPr>
          <w:rFonts w:cs="Times New Roman"/>
        </w:rPr>
        <w:t xml:space="preserve">Although the exact process through which HFE protein </w:t>
      </w:r>
      <w:r w:rsidR="00E922F3" w:rsidRPr="00C640D6">
        <w:rPr>
          <w:rFonts w:cs="Times New Roman"/>
        </w:rPr>
        <w:t>works</w:t>
      </w:r>
      <w:r w:rsidR="00E50D18" w:rsidRPr="00C640D6">
        <w:rPr>
          <w:rFonts w:cs="Times New Roman"/>
        </w:rPr>
        <w:t xml:space="preserve"> is unknown, s</w:t>
      </w:r>
      <w:r w:rsidR="00E922F3" w:rsidRPr="00C640D6">
        <w:rPr>
          <w:rFonts w:cs="Times New Roman"/>
        </w:rPr>
        <w:t>ome recent research suggests</w:t>
      </w:r>
      <w:r w:rsidRPr="00C640D6">
        <w:rPr>
          <w:rFonts w:cs="Times New Roman"/>
        </w:rPr>
        <w:t xml:space="preserve"> </w:t>
      </w:r>
      <w:r w:rsidR="00E50D18" w:rsidRPr="00C640D6">
        <w:rPr>
          <w:rFonts w:cs="Times New Roman"/>
        </w:rPr>
        <w:t xml:space="preserve">it is </w:t>
      </w:r>
      <w:r w:rsidRPr="00C640D6">
        <w:rPr>
          <w:rFonts w:cs="Times New Roman"/>
        </w:rPr>
        <w:t>similar</w:t>
      </w:r>
      <w:r w:rsidR="00E50D18" w:rsidRPr="00C640D6">
        <w:rPr>
          <w:rFonts w:cs="Times New Roman"/>
        </w:rPr>
        <w:t xml:space="preserve"> to hepcidin</w:t>
      </w:r>
      <w:r w:rsidRPr="00C640D6">
        <w:rPr>
          <w:rFonts w:cs="Times New Roman"/>
        </w:rPr>
        <w:t>, a key iron-regulatory hormone</w:t>
      </w:r>
      <w:r w:rsidR="00E50D18" w:rsidRPr="00C640D6">
        <w:rPr>
          <w:rFonts w:cs="Times New Roman"/>
        </w:rPr>
        <w:t>.</w:t>
      </w:r>
      <w:r w:rsidR="00E922F3" w:rsidRPr="00C640D6">
        <w:rPr>
          <w:rStyle w:val="FootnoteReference"/>
          <w:rFonts w:cs="Times New Roman"/>
        </w:rPr>
        <w:footnoteReference w:id="6"/>
      </w:r>
      <w:r w:rsidR="00E50D18" w:rsidRPr="00C640D6">
        <w:rPr>
          <w:rFonts w:cs="Times New Roman"/>
        </w:rPr>
        <w:t xml:space="preserve">  Hepcidin </w:t>
      </w:r>
      <w:r w:rsidRPr="00C640D6">
        <w:rPr>
          <w:rFonts w:cs="Times New Roman"/>
        </w:rPr>
        <w:t>monitors</w:t>
      </w:r>
      <w:r w:rsidR="00E50D18" w:rsidRPr="00C640D6">
        <w:rPr>
          <w:rFonts w:cs="Times New Roman"/>
        </w:rPr>
        <w:t xml:space="preserve"> ferroportin, which transports iron in </w:t>
      </w:r>
      <w:r w:rsidR="00E922F3" w:rsidRPr="00C640D6">
        <w:rPr>
          <w:rFonts w:cs="Times New Roman"/>
        </w:rPr>
        <w:t>a variety of cells</w:t>
      </w:r>
      <w:r w:rsidR="00E50D18" w:rsidRPr="00C640D6">
        <w:rPr>
          <w:rFonts w:cs="Times New Roman"/>
        </w:rPr>
        <w:t>.</w:t>
      </w:r>
      <w:r w:rsidR="00E922F3" w:rsidRPr="00C640D6">
        <w:rPr>
          <w:rStyle w:val="FootnoteReference"/>
          <w:rFonts w:cs="Times New Roman"/>
        </w:rPr>
        <w:footnoteReference w:id="7"/>
      </w:r>
      <w:r w:rsidR="00E50D18" w:rsidRPr="00C640D6">
        <w:rPr>
          <w:rFonts w:cs="Times New Roman"/>
        </w:rPr>
        <w:t xml:space="preserve">  When sufficient iron is absorbed, hepcidin binds to ferroportin, which reduces additional iron absorption.</w:t>
      </w:r>
      <w:r w:rsidR="00E922F3" w:rsidRPr="00C640D6">
        <w:rPr>
          <w:rStyle w:val="FootnoteReference"/>
          <w:rFonts w:cs="Times New Roman"/>
        </w:rPr>
        <w:footnoteReference w:id="8"/>
      </w:r>
      <w:r w:rsidR="00E922F3" w:rsidRPr="00C640D6">
        <w:rPr>
          <w:rFonts w:cs="Times New Roman"/>
        </w:rPr>
        <w:t xml:space="preserve"> </w:t>
      </w:r>
    </w:p>
    <w:p w14:paraId="6845F2D6" w14:textId="48F9DC89" w:rsidR="00E50D18" w:rsidRPr="00C640D6" w:rsidRDefault="004A11BC" w:rsidP="00530DB9">
      <w:pPr>
        <w:ind w:firstLine="720"/>
        <w:rPr>
          <w:rFonts w:cs="Times New Roman"/>
        </w:rPr>
      </w:pPr>
      <w:r w:rsidRPr="00C640D6">
        <w:rPr>
          <w:rFonts w:cs="Times New Roman"/>
        </w:rPr>
        <w:t xml:space="preserve">Hemochromatosis is the </w:t>
      </w:r>
      <w:r w:rsidR="00D4443A" w:rsidRPr="00C640D6">
        <w:rPr>
          <w:rFonts w:cs="Times New Roman"/>
        </w:rPr>
        <w:t xml:space="preserve">most common </w:t>
      </w:r>
      <w:r w:rsidR="00530DB9" w:rsidRPr="00C640D6">
        <w:rPr>
          <w:rFonts w:cs="Times New Roman"/>
        </w:rPr>
        <w:t>genetic</w:t>
      </w:r>
      <w:r w:rsidR="00D4443A" w:rsidRPr="00C640D6">
        <w:rPr>
          <w:rFonts w:cs="Times New Roman"/>
        </w:rPr>
        <w:t xml:space="preserve"> disorder </w:t>
      </w:r>
      <w:r w:rsidRPr="00C640D6">
        <w:rPr>
          <w:rFonts w:cs="Times New Roman"/>
        </w:rPr>
        <w:t xml:space="preserve">in people of </w:t>
      </w:r>
      <w:r w:rsidR="003B0419" w:rsidRPr="00C640D6">
        <w:rPr>
          <w:rFonts w:cs="Times New Roman"/>
        </w:rPr>
        <w:t>white</w:t>
      </w:r>
      <w:r w:rsidRPr="00C640D6">
        <w:rPr>
          <w:rFonts w:cs="Times New Roman"/>
        </w:rPr>
        <w:t xml:space="preserve"> descent</w:t>
      </w:r>
      <w:r w:rsidR="00E922F3" w:rsidRPr="00C640D6">
        <w:rPr>
          <w:rFonts w:cs="Times New Roman"/>
        </w:rPr>
        <w:t>.</w:t>
      </w:r>
      <w:r w:rsidR="00E922F3" w:rsidRPr="00C640D6">
        <w:rPr>
          <w:rStyle w:val="FootnoteReference"/>
          <w:rFonts w:cs="Times New Roman"/>
        </w:rPr>
        <w:footnoteReference w:id="9"/>
      </w:r>
      <w:r w:rsidRPr="00C640D6">
        <w:rPr>
          <w:rFonts w:cs="Times New Roman"/>
        </w:rPr>
        <w:t xml:space="preserve">  </w:t>
      </w:r>
      <w:r w:rsidR="00E922F3" w:rsidRPr="00C640D6">
        <w:rPr>
          <w:rFonts w:cs="Times New Roman"/>
        </w:rPr>
        <w:t xml:space="preserve"> T</w:t>
      </w:r>
      <w:r w:rsidRPr="00C640D6">
        <w:rPr>
          <w:rFonts w:cs="Times New Roman"/>
        </w:rPr>
        <w:t>he disease</w:t>
      </w:r>
      <w:r w:rsidR="00E922F3" w:rsidRPr="00C640D6">
        <w:rPr>
          <w:rFonts w:cs="Times New Roman"/>
        </w:rPr>
        <w:t xml:space="preserve"> originated as</w:t>
      </w:r>
      <w:r w:rsidRPr="00C640D6">
        <w:rPr>
          <w:rFonts w:cs="Times New Roman"/>
        </w:rPr>
        <w:t xml:space="preserve"> an evolutionary adaptation to </w:t>
      </w:r>
      <w:r w:rsidR="00E922F3" w:rsidRPr="00C640D6">
        <w:rPr>
          <w:rFonts w:cs="Times New Roman"/>
        </w:rPr>
        <w:t>the</w:t>
      </w:r>
      <w:r w:rsidR="00530DB9" w:rsidRPr="00C640D6">
        <w:rPr>
          <w:rFonts w:cs="Times New Roman"/>
        </w:rPr>
        <w:t xml:space="preserve"> Stone Age</w:t>
      </w:r>
      <w:r w:rsidR="00E922F3" w:rsidRPr="00C640D6">
        <w:rPr>
          <w:rFonts w:cs="Times New Roman"/>
        </w:rPr>
        <w:t xml:space="preserve"> </w:t>
      </w:r>
      <w:r w:rsidRPr="00C640D6">
        <w:rPr>
          <w:rFonts w:cs="Times New Roman"/>
        </w:rPr>
        <w:t>shift from a meat-dependent diet to a</w:t>
      </w:r>
      <w:r w:rsidR="00530DB9" w:rsidRPr="00C640D6">
        <w:rPr>
          <w:rFonts w:cs="Times New Roman"/>
        </w:rPr>
        <w:t xml:space="preserve"> grain-dependent diet</w:t>
      </w:r>
      <w:r w:rsidRPr="00C640D6">
        <w:rPr>
          <w:rFonts w:cs="Times New Roman"/>
        </w:rPr>
        <w:t>.</w:t>
      </w:r>
      <w:r w:rsidR="00E922F3" w:rsidRPr="00C640D6">
        <w:rPr>
          <w:rStyle w:val="FootnoteReference"/>
          <w:rFonts w:cs="Times New Roman"/>
        </w:rPr>
        <w:footnoteReference w:id="10"/>
      </w:r>
      <w:r w:rsidRPr="00C640D6">
        <w:rPr>
          <w:rFonts w:cs="Times New Roman"/>
        </w:rPr>
        <w:t xml:space="preserve"> </w:t>
      </w:r>
      <w:r w:rsidR="003B0419" w:rsidRPr="00C640D6">
        <w:rPr>
          <w:rFonts w:cs="Times New Roman"/>
        </w:rPr>
        <w:t xml:space="preserve"> </w:t>
      </w:r>
      <w:r w:rsidR="00530DB9" w:rsidRPr="00C640D6">
        <w:rPr>
          <w:rFonts w:cs="Times New Roman"/>
        </w:rPr>
        <w:t xml:space="preserve">While meat is typically high in iron, grains are not naturally.  </w:t>
      </w:r>
      <w:r w:rsidRPr="00C640D6">
        <w:rPr>
          <w:rFonts w:cs="Times New Roman"/>
        </w:rPr>
        <w:t xml:space="preserve">However, </w:t>
      </w:r>
      <w:r w:rsidR="00E922F3" w:rsidRPr="00C640D6">
        <w:rPr>
          <w:rFonts w:cs="Times New Roman"/>
        </w:rPr>
        <w:t>modern technologies have</w:t>
      </w:r>
      <w:r w:rsidRPr="00C640D6">
        <w:rPr>
          <w:rFonts w:cs="Times New Roman"/>
        </w:rPr>
        <w:t xml:space="preserve"> allowed for fortification of gr</w:t>
      </w:r>
      <w:r w:rsidR="00E50D18" w:rsidRPr="00C640D6">
        <w:rPr>
          <w:rFonts w:cs="Times New Roman"/>
        </w:rPr>
        <w:t xml:space="preserve">ains </w:t>
      </w:r>
      <w:r w:rsidRPr="00C640D6">
        <w:rPr>
          <w:rFonts w:cs="Times New Roman"/>
        </w:rPr>
        <w:t>with artificial iron</w:t>
      </w:r>
      <w:r w:rsidR="00E922F3" w:rsidRPr="00C640D6">
        <w:rPr>
          <w:rFonts w:cs="Times New Roman"/>
        </w:rPr>
        <w:t>.</w:t>
      </w:r>
      <w:r w:rsidR="00E922F3" w:rsidRPr="00C640D6">
        <w:rPr>
          <w:rStyle w:val="FootnoteReference"/>
          <w:rFonts w:cs="Times New Roman"/>
        </w:rPr>
        <w:footnoteReference w:id="11"/>
      </w:r>
      <w:r w:rsidRPr="00C640D6">
        <w:rPr>
          <w:rFonts w:cs="Times New Roman"/>
        </w:rPr>
        <w:t xml:space="preserve">  The result is that individuals with </w:t>
      </w:r>
      <w:r w:rsidR="00530DB9" w:rsidRPr="00C640D6">
        <w:rPr>
          <w:rFonts w:cs="Times New Roman"/>
        </w:rPr>
        <w:t>hemochromatosis, a</w:t>
      </w:r>
      <w:r w:rsidRPr="00C640D6">
        <w:rPr>
          <w:rFonts w:cs="Times New Roman"/>
        </w:rPr>
        <w:t xml:space="preserve"> </w:t>
      </w:r>
      <w:r w:rsidR="00E922F3" w:rsidRPr="00C640D6">
        <w:rPr>
          <w:rFonts w:cs="Times New Roman"/>
        </w:rPr>
        <w:t xml:space="preserve">once </w:t>
      </w:r>
      <w:r w:rsidR="00530DB9" w:rsidRPr="00C640D6">
        <w:rPr>
          <w:rFonts w:cs="Times New Roman"/>
        </w:rPr>
        <w:t>adaptive trait</w:t>
      </w:r>
      <w:r w:rsidRPr="00C640D6">
        <w:rPr>
          <w:rFonts w:cs="Times New Roman"/>
        </w:rPr>
        <w:t xml:space="preserve">, </w:t>
      </w:r>
      <w:r w:rsidR="00E922F3" w:rsidRPr="00C640D6">
        <w:rPr>
          <w:rFonts w:cs="Times New Roman"/>
        </w:rPr>
        <w:t xml:space="preserve">are now </w:t>
      </w:r>
      <w:r w:rsidRPr="00C640D6">
        <w:rPr>
          <w:rFonts w:cs="Times New Roman"/>
        </w:rPr>
        <w:t>at a disadvantage</w:t>
      </w:r>
      <w:r w:rsidR="00E922F3" w:rsidRPr="00C640D6">
        <w:rPr>
          <w:rFonts w:cs="Times New Roman"/>
        </w:rPr>
        <w:t xml:space="preserve"> because they absorb</w:t>
      </w:r>
      <w:r w:rsidRPr="00C640D6">
        <w:rPr>
          <w:rFonts w:cs="Times New Roman"/>
        </w:rPr>
        <w:t xml:space="preserve"> too much iron.</w:t>
      </w:r>
      <w:r w:rsidR="003B0419" w:rsidRPr="00C640D6">
        <w:rPr>
          <w:rFonts w:cs="Times New Roman"/>
        </w:rPr>
        <w:t xml:space="preserve"> This evolutionary history is </w:t>
      </w:r>
      <w:r w:rsidR="00E50D18" w:rsidRPr="00C640D6">
        <w:rPr>
          <w:rFonts w:cs="Times New Roman"/>
        </w:rPr>
        <w:t>confirmed</w:t>
      </w:r>
      <w:r w:rsidR="003B0419" w:rsidRPr="00C640D6">
        <w:rPr>
          <w:rFonts w:cs="Times New Roman"/>
        </w:rPr>
        <w:t xml:space="preserve"> by the strong geographic distribution of the disease</w:t>
      </w:r>
      <w:r w:rsidR="008C4469" w:rsidRPr="00C640D6">
        <w:rPr>
          <w:rFonts w:cs="Times New Roman"/>
        </w:rPr>
        <w:t xml:space="preserve"> and its particular mutations</w:t>
      </w:r>
      <w:r w:rsidR="003B0419" w:rsidRPr="00C640D6">
        <w:rPr>
          <w:rFonts w:cs="Times New Roman"/>
        </w:rPr>
        <w:t xml:space="preserve">. </w:t>
      </w:r>
      <w:r w:rsidR="00E922F3" w:rsidRPr="00C640D6">
        <w:rPr>
          <w:rFonts w:cs="Times New Roman"/>
        </w:rPr>
        <w:t xml:space="preserve"> </w:t>
      </w:r>
      <w:r w:rsidR="008C4469" w:rsidRPr="00C640D6">
        <w:rPr>
          <w:rFonts w:cs="Times New Roman"/>
        </w:rPr>
        <w:t xml:space="preserve">The </w:t>
      </w:r>
      <w:r w:rsidR="00E50D18" w:rsidRPr="00C640D6">
        <w:rPr>
          <w:rFonts w:cs="Times New Roman"/>
        </w:rPr>
        <w:t xml:space="preserve">C282Y </w:t>
      </w:r>
      <w:r w:rsidR="008C4469" w:rsidRPr="00C640D6">
        <w:rPr>
          <w:rFonts w:cs="Times New Roman"/>
        </w:rPr>
        <w:t xml:space="preserve">mutation </w:t>
      </w:r>
      <w:r w:rsidR="00E50D18" w:rsidRPr="00C640D6">
        <w:rPr>
          <w:rFonts w:cs="Times New Roman"/>
        </w:rPr>
        <w:t xml:space="preserve">is most common in people of Northern European </w:t>
      </w:r>
      <w:proofErr w:type="gramStart"/>
      <w:r w:rsidR="00E50D18" w:rsidRPr="00C640D6">
        <w:rPr>
          <w:rFonts w:cs="Times New Roman"/>
        </w:rPr>
        <w:t>descent</w:t>
      </w:r>
      <w:proofErr w:type="gramEnd"/>
      <w:r w:rsidR="00E50D18" w:rsidRPr="00C640D6">
        <w:rPr>
          <w:rFonts w:cs="Times New Roman"/>
        </w:rPr>
        <w:t>.</w:t>
      </w:r>
      <w:r w:rsidR="008C4469" w:rsidRPr="00C640D6">
        <w:rPr>
          <w:rStyle w:val="FootnoteReference"/>
          <w:rFonts w:cs="Times New Roman"/>
        </w:rPr>
        <w:footnoteReference w:id="12"/>
      </w:r>
      <w:r w:rsidR="00E50D18" w:rsidRPr="00C640D6">
        <w:rPr>
          <w:rFonts w:cs="Times New Roman"/>
        </w:rPr>
        <w:t xml:space="preserve">  However, </w:t>
      </w:r>
      <w:r w:rsidR="00530DB9" w:rsidRPr="00C640D6">
        <w:rPr>
          <w:rFonts w:cs="Times New Roman"/>
        </w:rPr>
        <w:t>C282Y</w:t>
      </w:r>
      <w:r w:rsidR="00E50D18" w:rsidRPr="00C640D6">
        <w:rPr>
          <w:rFonts w:cs="Times New Roman"/>
        </w:rPr>
        <w:t xml:space="preserve"> is also common in Australia and the Mediterranean region.</w:t>
      </w:r>
      <w:r w:rsidR="008C4469" w:rsidRPr="00C640D6">
        <w:rPr>
          <w:rStyle w:val="FootnoteReference"/>
          <w:rFonts w:cs="Times New Roman"/>
        </w:rPr>
        <w:footnoteReference w:id="13"/>
      </w:r>
      <w:r w:rsidR="00E50D18" w:rsidRPr="00C640D6">
        <w:rPr>
          <w:rFonts w:cs="Times New Roman"/>
        </w:rPr>
        <w:t xml:space="preserve">  H63D is most common in people </w:t>
      </w:r>
      <w:r w:rsidR="00530DB9" w:rsidRPr="00C640D6">
        <w:rPr>
          <w:rFonts w:cs="Times New Roman"/>
        </w:rPr>
        <w:t>of S</w:t>
      </w:r>
      <w:r w:rsidR="008C4469" w:rsidRPr="00C640D6">
        <w:rPr>
          <w:rFonts w:cs="Times New Roman"/>
        </w:rPr>
        <w:t xml:space="preserve">outhern European </w:t>
      </w:r>
      <w:proofErr w:type="gramStart"/>
      <w:r w:rsidR="008C4469" w:rsidRPr="00C640D6">
        <w:rPr>
          <w:rFonts w:cs="Times New Roman"/>
        </w:rPr>
        <w:t>descent</w:t>
      </w:r>
      <w:proofErr w:type="gramEnd"/>
      <w:r w:rsidR="008C4469" w:rsidRPr="00C640D6">
        <w:rPr>
          <w:rFonts w:cs="Times New Roman"/>
        </w:rPr>
        <w:t>.</w:t>
      </w:r>
      <w:r w:rsidR="008C4469" w:rsidRPr="00C640D6">
        <w:rPr>
          <w:rStyle w:val="FootnoteReference"/>
          <w:rFonts w:cs="Times New Roman"/>
        </w:rPr>
        <w:footnoteReference w:id="14"/>
      </w:r>
    </w:p>
    <w:p w14:paraId="48B8F0E8" w14:textId="6A56A52B" w:rsidR="008C4469" w:rsidRPr="00C640D6" w:rsidRDefault="008C4469" w:rsidP="008C4469">
      <w:pPr>
        <w:ind w:firstLine="720"/>
        <w:rPr>
          <w:rFonts w:cs="Times New Roman"/>
        </w:rPr>
      </w:pPr>
      <w:r w:rsidRPr="00C640D6">
        <w:rPr>
          <w:rFonts w:cs="Times New Roman"/>
        </w:rPr>
        <w:t>Hemochromatosis cannot be</w:t>
      </w:r>
      <w:r w:rsidR="00FA6D84" w:rsidRPr="00C640D6">
        <w:rPr>
          <w:rFonts w:cs="Times New Roman"/>
        </w:rPr>
        <w:t xml:space="preserve"> cure</w:t>
      </w:r>
      <w:r w:rsidRPr="00C640D6">
        <w:rPr>
          <w:rFonts w:cs="Times New Roman"/>
        </w:rPr>
        <w:t>d</w:t>
      </w:r>
      <w:r w:rsidR="00FA6D84" w:rsidRPr="00C640D6">
        <w:rPr>
          <w:rFonts w:cs="Times New Roman"/>
        </w:rPr>
        <w:t xml:space="preserve">, </w:t>
      </w:r>
      <w:r w:rsidRPr="00C640D6">
        <w:rPr>
          <w:rFonts w:cs="Times New Roman"/>
        </w:rPr>
        <w:t xml:space="preserve">but </w:t>
      </w:r>
      <w:r w:rsidR="00FA6D84" w:rsidRPr="00C640D6">
        <w:rPr>
          <w:rFonts w:cs="Times New Roman"/>
        </w:rPr>
        <w:t>there are a va</w:t>
      </w:r>
      <w:r w:rsidRPr="00C640D6">
        <w:rPr>
          <w:rFonts w:cs="Times New Roman"/>
        </w:rPr>
        <w:t xml:space="preserve">riety of treatment </w:t>
      </w:r>
      <w:r w:rsidR="00530DB9" w:rsidRPr="00C640D6">
        <w:rPr>
          <w:rFonts w:cs="Times New Roman"/>
        </w:rPr>
        <w:t>methods</w:t>
      </w:r>
      <w:r w:rsidR="00FA6D84" w:rsidRPr="00C640D6">
        <w:rPr>
          <w:rFonts w:cs="Times New Roman"/>
        </w:rPr>
        <w:t>.  The primary goal of treatment is normalization of iron levels in the body and prevention of organ dysfunction.</w:t>
      </w:r>
      <w:r w:rsidRPr="00C640D6">
        <w:rPr>
          <w:rStyle w:val="FootnoteReference"/>
          <w:rFonts w:cs="Times New Roman"/>
        </w:rPr>
        <w:footnoteReference w:id="15"/>
      </w:r>
      <w:r w:rsidR="00FA6D84" w:rsidRPr="00C640D6">
        <w:rPr>
          <w:rFonts w:cs="Times New Roman"/>
        </w:rPr>
        <w:t xml:space="preserve">  If organs have already been damaged </w:t>
      </w:r>
      <w:r w:rsidR="00530DB9" w:rsidRPr="00C640D6">
        <w:rPr>
          <w:rFonts w:cs="Times New Roman"/>
        </w:rPr>
        <w:t>when treatment begins</w:t>
      </w:r>
      <w:r w:rsidR="00FA6D84" w:rsidRPr="00C640D6">
        <w:rPr>
          <w:rFonts w:cs="Times New Roman"/>
        </w:rPr>
        <w:t>, the goal is to minimize additional damage.</w:t>
      </w:r>
      <w:r w:rsidRPr="00C640D6">
        <w:rPr>
          <w:rStyle w:val="FootnoteReference"/>
          <w:rFonts w:cs="Times New Roman"/>
        </w:rPr>
        <w:footnoteReference w:id="16"/>
      </w:r>
      <w:r w:rsidR="00FA6D84" w:rsidRPr="00C640D6">
        <w:rPr>
          <w:rFonts w:cs="Times New Roman"/>
        </w:rPr>
        <w:t xml:space="preserve">  </w:t>
      </w:r>
      <w:r w:rsidRPr="00C640D6">
        <w:rPr>
          <w:rFonts w:cs="Times New Roman"/>
        </w:rPr>
        <w:t>Currently, t</w:t>
      </w:r>
      <w:r w:rsidR="00FA6D84" w:rsidRPr="00C640D6">
        <w:rPr>
          <w:rFonts w:cs="Times New Roman"/>
        </w:rPr>
        <w:t>here is only one effective method for normalizing iron stores: phlebotomy.</w:t>
      </w:r>
      <w:r w:rsidRPr="00C640D6">
        <w:rPr>
          <w:rStyle w:val="FootnoteReference"/>
          <w:rFonts w:cs="Times New Roman"/>
        </w:rPr>
        <w:footnoteReference w:id="17"/>
      </w:r>
      <w:r w:rsidR="00530DB9" w:rsidRPr="00C640D6">
        <w:rPr>
          <w:rFonts w:cs="Times New Roman"/>
        </w:rPr>
        <w:t xml:space="preserve">  </w:t>
      </w:r>
      <w:r w:rsidR="00FA6D84" w:rsidRPr="00C640D6">
        <w:rPr>
          <w:rFonts w:cs="Times New Roman"/>
        </w:rPr>
        <w:t>Phlebotomy is the periodic removal of blood using a large needle.</w:t>
      </w:r>
      <w:r w:rsidRPr="00C640D6">
        <w:rPr>
          <w:rStyle w:val="FootnoteReference"/>
          <w:rFonts w:cs="Times New Roman"/>
        </w:rPr>
        <w:footnoteReference w:id="18"/>
      </w:r>
      <w:r w:rsidR="00530DB9" w:rsidRPr="00C640D6">
        <w:rPr>
          <w:rFonts w:cs="Times New Roman"/>
        </w:rPr>
        <w:t xml:space="preserve">  This </w:t>
      </w:r>
      <w:r w:rsidR="00FA6D84" w:rsidRPr="00C640D6">
        <w:rPr>
          <w:rFonts w:cs="Times New Roman"/>
        </w:rPr>
        <w:t xml:space="preserve">stimulates the production of new </w:t>
      </w:r>
      <w:r w:rsidRPr="00C640D6">
        <w:rPr>
          <w:rFonts w:cs="Times New Roman"/>
        </w:rPr>
        <w:t xml:space="preserve">red </w:t>
      </w:r>
      <w:r w:rsidR="00FA6D84" w:rsidRPr="00C640D6">
        <w:rPr>
          <w:rFonts w:cs="Times New Roman"/>
        </w:rPr>
        <w:t>blood cells, which requires the body to use excess stored iron.</w:t>
      </w:r>
      <w:r w:rsidRPr="00C640D6">
        <w:rPr>
          <w:rStyle w:val="FootnoteReference"/>
          <w:rFonts w:cs="Times New Roman"/>
        </w:rPr>
        <w:footnoteReference w:id="19"/>
      </w:r>
      <w:r w:rsidR="00530DB9" w:rsidRPr="00C640D6">
        <w:rPr>
          <w:rFonts w:cs="Times New Roman"/>
        </w:rPr>
        <w:t xml:space="preserve">  The result is a temporary</w:t>
      </w:r>
      <w:r w:rsidR="00FA6D84" w:rsidRPr="00C640D6">
        <w:rPr>
          <w:rFonts w:cs="Times New Roman"/>
        </w:rPr>
        <w:t xml:space="preserve"> overall reduction in bodily iron stores.  </w:t>
      </w:r>
      <w:r w:rsidR="00530DB9" w:rsidRPr="00C640D6">
        <w:rPr>
          <w:rFonts w:cs="Times New Roman"/>
        </w:rPr>
        <w:t>However, p</w:t>
      </w:r>
      <w:r w:rsidR="00FA6D84" w:rsidRPr="00C640D6">
        <w:rPr>
          <w:rFonts w:cs="Times New Roman"/>
        </w:rPr>
        <w:t>atients undergoing phlebotomy must regularly undergo</w:t>
      </w:r>
      <w:r w:rsidRPr="00C640D6">
        <w:rPr>
          <w:rFonts w:cs="Times New Roman"/>
        </w:rPr>
        <w:t xml:space="preserve"> the procedure, otherwise iron</w:t>
      </w:r>
      <w:r w:rsidR="00FA6D84" w:rsidRPr="00C640D6">
        <w:rPr>
          <w:rFonts w:cs="Times New Roman"/>
        </w:rPr>
        <w:t xml:space="preserve"> </w:t>
      </w:r>
      <w:r w:rsidR="00530DB9" w:rsidRPr="00C640D6">
        <w:rPr>
          <w:rFonts w:cs="Times New Roman"/>
        </w:rPr>
        <w:t xml:space="preserve">levels will once again </w:t>
      </w:r>
      <w:proofErr w:type="gramStart"/>
      <w:r w:rsidR="00530DB9" w:rsidRPr="00C640D6">
        <w:rPr>
          <w:rFonts w:cs="Times New Roman"/>
        </w:rPr>
        <w:t>rise</w:t>
      </w:r>
      <w:proofErr w:type="gramEnd"/>
      <w:r w:rsidR="00FA6D84" w:rsidRPr="00C640D6">
        <w:rPr>
          <w:rFonts w:cs="Times New Roman"/>
        </w:rPr>
        <w:t>.</w:t>
      </w:r>
      <w:r w:rsidR="00C5523F">
        <w:rPr>
          <w:rFonts w:cs="Times New Roman"/>
        </w:rPr>
        <w:t xml:space="preserve"> </w:t>
      </w:r>
      <w:r w:rsidR="00FA6D84" w:rsidRPr="00C640D6">
        <w:rPr>
          <w:rFonts w:cs="Times New Roman"/>
        </w:rPr>
        <w:t xml:space="preserve"> Although phlebotomy improve</w:t>
      </w:r>
      <w:r w:rsidR="00530DB9" w:rsidRPr="00C640D6">
        <w:rPr>
          <w:rFonts w:cs="Times New Roman"/>
        </w:rPr>
        <w:t>s</w:t>
      </w:r>
      <w:r w:rsidR="00FA6D84" w:rsidRPr="00C640D6">
        <w:rPr>
          <w:rFonts w:cs="Times New Roman"/>
        </w:rPr>
        <w:t xml:space="preserve"> the </w:t>
      </w:r>
      <w:r w:rsidR="00530DB9" w:rsidRPr="00C640D6">
        <w:rPr>
          <w:rFonts w:cs="Times New Roman"/>
        </w:rPr>
        <w:t>“</w:t>
      </w:r>
      <w:r w:rsidR="00FA6D84" w:rsidRPr="00C640D6">
        <w:rPr>
          <w:rFonts w:cs="Times New Roman"/>
        </w:rPr>
        <w:t>q</w:t>
      </w:r>
      <w:r w:rsidR="00530DB9" w:rsidRPr="00C640D6">
        <w:rPr>
          <w:rFonts w:cs="Times New Roman"/>
        </w:rPr>
        <w:t>uantity and quality of life” for</w:t>
      </w:r>
      <w:r w:rsidR="00FA6D84" w:rsidRPr="00C640D6">
        <w:rPr>
          <w:rFonts w:cs="Times New Roman"/>
        </w:rPr>
        <w:t xml:space="preserve"> hemochromatosis patients, i</w:t>
      </w:r>
      <w:r w:rsidRPr="00C640D6">
        <w:rPr>
          <w:rFonts w:cs="Times New Roman"/>
        </w:rPr>
        <w:t xml:space="preserve">t comes with a variety of risks. </w:t>
      </w:r>
      <w:r w:rsidR="00C5523F">
        <w:rPr>
          <w:rFonts w:cs="Times New Roman"/>
        </w:rPr>
        <w:t xml:space="preserve"> </w:t>
      </w:r>
      <w:r w:rsidR="00FA6D84" w:rsidRPr="00C640D6">
        <w:rPr>
          <w:rFonts w:cs="Times New Roman"/>
        </w:rPr>
        <w:t xml:space="preserve">These </w:t>
      </w:r>
      <w:r w:rsidRPr="00C640D6">
        <w:rPr>
          <w:rFonts w:cs="Times New Roman"/>
        </w:rPr>
        <w:t>risks</w:t>
      </w:r>
      <w:r w:rsidR="00FA6D84" w:rsidRPr="00C640D6">
        <w:rPr>
          <w:rFonts w:cs="Times New Roman"/>
        </w:rPr>
        <w:t xml:space="preserve"> include </w:t>
      </w:r>
      <w:r w:rsidRPr="00C640D6">
        <w:rPr>
          <w:rFonts w:cs="Times New Roman"/>
        </w:rPr>
        <w:t xml:space="preserve">vein access issues </w:t>
      </w:r>
      <w:r w:rsidR="00FA6D84" w:rsidRPr="00C640D6">
        <w:rPr>
          <w:rFonts w:cs="Times New Roman"/>
        </w:rPr>
        <w:t xml:space="preserve">and </w:t>
      </w:r>
      <w:r w:rsidR="004B0153" w:rsidRPr="00C640D6">
        <w:rPr>
          <w:rFonts w:cs="Times New Roman"/>
        </w:rPr>
        <w:t xml:space="preserve">negative reactions to </w:t>
      </w:r>
      <w:r w:rsidRPr="00C640D6">
        <w:rPr>
          <w:rFonts w:cs="Times New Roman"/>
        </w:rPr>
        <w:t>blood loss, including fainting</w:t>
      </w:r>
      <w:r w:rsidR="004B0153" w:rsidRPr="00C640D6">
        <w:rPr>
          <w:rFonts w:cs="Times New Roman"/>
        </w:rPr>
        <w:t>.</w:t>
      </w:r>
      <w:r w:rsidRPr="00C640D6">
        <w:rPr>
          <w:rStyle w:val="FootnoteReference"/>
          <w:rFonts w:cs="Times New Roman"/>
        </w:rPr>
        <w:footnoteReference w:id="20"/>
      </w:r>
      <w:r w:rsidR="004B0153" w:rsidRPr="00C640D6">
        <w:rPr>
          <w:rFonts w:cs="Times New Roman"/>
        </w:rPr>
        <w:t xml:space="preserve">  Additionally, phlebotomy require</w:t>
      </w:r>
      <w:r w:rsidR="00530DB9" w:rsidRPr="00C640D6">
        <w:rPr>
          <w:rFonts w:cs="Times New Roman"/>
        </w:rPr>
        <w:t>s a significant time commitment</w:t>
      </w:r>
      <w:r w:rsidR="004B0153" w:rsidRPr="00C640D6">
        <w:rPr>
          <w:rFonts w:cs="Times New Roman"/>
        </w:rPr>
        <w:t>, and can be poorly tolerated due to fear of needles or blood.</w:t>
      </w:r>
      <w:r w:rsidRPr="00C640D6">
        <w:rPr>
          <w:rStyle w:val="FootnoteReference"/>
          <w:rFonts w:cs="Times New Roman"/>
        </w:rPr>
        <w:footnoteReference w:id="21"/>
      </w:r>
      <w:r w:rsidR="004B0153" w:rsidRPr="00C640D6">
        <w:rPr>
          <w:rFonts w:cs="Times New Roman"/>
        </w:rPr>
        <w:t xml:space="preserve">  </w:t>
      </w:r>
    </w:p>
    <w:p w14:paraId="6B8DEF2B" w14:textId="252345FB" w:rsidR="00530DB9" w:rsidRPr="00C640D6" w:rsidRDefault="00530DB9" w:rsidP="008C4469">
      <w:pPr>
        <w:ind w:firstLine="720"/>
        <w:rPr>
          <w:rFonts w:cs="Times New Roman"/>
        </w:rPr>
      </w:pPr>
      <w:r w:rsidRPr="00C640D6">
        <w:rPr>
          <w:rFonts w:cs="Times New Roman"/>
        </w:rPr>
        <w:t>P</w:t>
      </w:r>
      <w:r w:rsidR="004B0153" w:rsidRPr="00C640D6">
        <w:rPr>
          <w:rFonts w:cs="Times New Roman"/>
        </w:rPr>
        <w:t>hlebotomy</w:t>
      </w:r>
      <w:r w:rsidRPr="00C640D6">
        <w:rPr>
          <w:rFonts w:cs="Times New Roman"/>
        </w:rPr>
        <w:t>’s inherent flaws</w:t>
      </w:r>
      <w:r w:rsidR="004B0153" w:rsidRPr="00C640D6">
        <w:rPr>
          <w:rFonts w:cs="Times New Roman"/>
        </w:rPr>
        <w:t xml:space="preserve"> led to the de</w:t>
      </w:r>
      <w:r w:rsidR="008C4469" w:rsidRPr="00C640D6">
        <w:rPr>
          <w:rFonts w:cs="Times New Roman"/>
        </w:rPr>
        <w:t>velopment of another treatment option</w:t>
      </w:r>
      <w:r w:rsidR="00A87CC3">
        <w:rPr>
          <w:rFonts w:cs="Times New Roman"/>
        </w:rPr>
        <w:t xml:space="preserve">: </w:t>
      </w:r>
      <w:r w:rsidR="004B0153" w:rsidRPr="00C640D6">
        <w:rPr>
          <w:rFonts w:cs="Times New Roman"/>
        </w:rPr>
        <w:t>a pill.  Iron chelation drugs</w:t>
      </w:r>
      <w:r w:rsidRPr="00C640D6">
        <w:rPr>
          <w:rFonts w:cs="Times New Roman"/>
        </w:rPr>
        <w:t>, like hepcidin,</w:t>
      </w:r>
      <w:r w:rsidR="004B0153" w:rsidRPr="00C640D6">
        <w:rPr>
          <w:rFonts w:cs="Times New Roman"/>
        </w:rPr>
        <w:t xml:space="preserve"> </w:t>
      </w:r>
      <w:r w:rsidRPr="00C640D6">
        <w:rPr>
          <w:rFonts w:cs="Times New Roman"/>
        </w:rPr>
        <w:t>prevent excess iron absorption</w:t>
      </w:r>
      <w:r w:rsidR="008C4469" w:rsidRPr="00C640D6">
        <w:rPr>
          <w:rFonts w:cs="Times New Roman"/>
        </w:rPr>
        <w:t>.</w:t>
      </w:r>
      <w:r w:rsidR="008C4469" w:rsidRPr="00C640D6">
        <w:rPr>
          <w:rStyle w:val="FootnoteReference"/>
          <w:rFonts w:cs="Times New Roman"/>
        </w:rPr>
        <w:footnoteReference w:id="22"/>
      </w:r>
      <w:r w:rsidR="008C4469" w:rsidRPr="00C640D6">
        <w:rPr>
          <w:rFonts w:cs="Times New Roman"/>
        </w:rPr>
        <w:t xml:space="preserve">  </w:t>
      </w:r>
      <w:r w:rsidR="004B0153" w:rsidRPr="00C640D6">
        <w:rPr>
          <w:rFonts w:cs="Times New Roman"/>
        </w:rPr>
        <w:t xml:space="preserve">Although these drugs show promise in reducing the amount of iron absorbed, they come with </w:t>
      </w:r>
      <w:r w:rsidRPr="00C640D6">
        <w:rPr>
          <w:rFonts w:cs="Times New Roman"/>
        </w:rPr>
        <w:t>a variety of</w:t>
      </w:r>
      <w:r w:rsidR="004B0153" w:rsidRPr="00C640D6">
        <w:rPr>
          <w:rFonts w:cs="Times New Roman"/>
        </w:rPr>
        <w:t xml:space="preserve"> risks</w:t>
      </w:r>
      <w:r w:rsidR="008C4469" w:rsidRPr="00C640D6">
        <w:rPr>
          <w:rFonts w:cs="Times New Roman"/>
        </w:rPr>
        <w:t xml:space="preserve">, and quite a bit of research </w:t>
      </w:r>
      <w:proofErr w:type="gramStart"/>
      <w:r w:rsidR="008C4469" w:rsidRPr="00C640D6">
        <w:rPr>
          <w:rFonts w:cs="Times New Roman"/>
        </w:rPr>
        <w:t>is</w:t>
      </w:r>
      <w:proofErr w:type="gramEnd"/>
      <w:r w:rsidR="008C4469" w:rsidRPr="00C640D6">
        <w:rPr>
          <w:rFonts w:cs="Times New Roman"/>
        </w:rPr>
        <w:t xml:space="preserve"> still </w:t>
      </w:r>
      <w:r w:rsidRPr="00C640D6">
        <w:rPr>
          <w:rFonts w:cs="Times New Roman"/>
        </w:rPr>
        <w:t>necessary</w:t>
      </w:r>
      <w:r w:rsidR="008C4469" w:rsidRPr="00C640D6">
        <w:rPr>
          <w:rFonts w:cs="Times New Roman"/>
        </w:rPr>
        <w:t xml:space="preserve"> to determine </w:t>
      </w:r>
      <w:r w:rsidRPr="00C640D6">
        <w:rPr>
          <w:rFonts w:cs="Times New Roman"/>
        </w:rPr>
        <w:t>long-term side effects</w:t>
      </w:r>
      <w:r w:rsidR="008C4469" w:rsidRPr="00C640D6">
        <w:rPr>
          <w:rFonts w:cs="Times New Roman"/>
        </w:rPr>
        <w:t>.</w:t>
      </w:r>
      <w:r w:rsidR="008C4469" w:rsidRPr="00C640D6">
        <w:rPr>
          <w:rStyle w:val="FootnoteReference"/>
          <w:rFonts w:cs="Times New Roman"/>
        </w:rPr>
        <w:footnoteReference w:id="23"/>
      </w:r>
      <w:r w:rsidR="004B0153" w:rsidRPr="00C640D6">
        <w:rPr>
          <w:rFonts w:cs="Times New Roman"/>
        </w:rPr>
        <w:t xml:space="preserve"> </w:t>
      </w:r>
    </w:p>
    <w:p w14:paraId="48A73A58" w14:textId="593B9216" w:rsidR="005763F0" w:rsidRPr="00C640D6" w:rsidRDefault="004B0153" w:rsidP="00530DB9">
      <w:pPr>
        <w:ind w:firstLine="720"/>
        <w:rPr>
          <w:rFonts w:cs="Times New Roman"/>
        </w:rPr>
      </w:pPr>
      <w:r w:rsidRPr="00C640D6">
        <w:rPr>
          <w:rFonts w:cs="Times New Roman"/>
        </w:rPr>
        <w:t xml:space="preserve"> For patients who cannot or will not tolerate phlebotomy and </w:t>
      </w:r>
      <w:r w:rsidR="008C4469" w:rsidRPr="00C640D6">
        <w:rPr>
          <w:rFonts w:cs="Times New Roman"/>
        </w:rPr>
        <w:t>drug treatment</w:t>
      </w:r>
      <w:r w:rsidRPr="00C640D6">
        <w:rPr>
          <w:rFonts w:cs="Times New Roman"/>
        </w:rPr>
        <w:t>, there is only one other option: dietary management.</w:t>
      </w:r>
      <w:r w:rsidR="00530DB9" w:rsidRPr="00C640D6">
        <w:rPr>
          <w:rFonts w:cs="Times New Roman"/>
        </w:rPr>
        <w:t xml:space="preserve">  </w:t>
      </w:r>
      <w:r w:rsidRPr="00C640D6">
        <w:rPr>
          <w:rFonts w:cs="Times New Roman"/>
        </w:rPr>
        <w:t>Dietar</w:t>
      </w:r>
      <w:r w:rsidR="00530DB9" w:rsidRPr="00C640D6">
        <w:rPr>
          <w:rFonts w:cs="Times New Roman"/>
        </w:rPr>
        <w:t>y management is the simplest and least expensive of</w:t>
      </w:r>
      <w:r w:rsidR="008C4469" w:rsidRPr="00C640D6">
        <w:rPr>
          <w:rFonts w:cs="Times New Roman"/>
        </w:rPr>
        <w:t xml:space="preserve"> hemochromatosis </w:t>
      </w:r>
      <w:r w:rsidRPr="00C640D6">
        <w:rPr>
          <w:rFonts w:cs="Times New Roman"/>
        </w:rPr>
        <w:t xml:space="preserve">treatment methods, but also the least researched.  Dietary </w:t>
      </w:r>
      <w:r w:rsidR="00530DB9" w:rsidRPr="00C640D6">
        <w:rPr>
          <w:rFonts w:cs="Times New Roman"/>
        </w:rPr>
        <w:t>manage</w:t>
      </w:r>
      <w:r w:rsidRPr="00C640D6">
        <w:rPr>
          <w:rFonts w:cs="Times New Roman"/>
        </w:rPr>
        <w:t>ment falls into three categories: avoid</w:t>
      </w:r>
      <w:r w:rsidR="008C4469" w:rsidRPr="00C640D6">
        <w:rPr>
          <w:rFonts w:cs="Times New Roman"/>
        </w:rPr>
        <w:t>ing</w:t>
      </w:r>
      <w:r w:rsidRPr="00C640D6">
        <w:rPr>
          <w:rFonts w:cs="Times New Roman"/>
        </w:rPr>
        <w:t xml:space="preserve"> iron, avoid</w:t>
      </w:r>
      <w:r w:rsidR="008C4469" w:rsidRPr="00C640D6">
        <w:rPr>
          <w:rFonts w:cs="Times New Roman"/>
        </w:rPr>
        <w:t>ing</w:t>
      </w:r>
      <w:r w:rsidRPr="00C640D6">
        <w:rPr>
          <w:rFonts w:cs="Times New Roman"/>
        </w:rPr>
        <w:t xml:space="preserve"> substances that increase iron absorp</w:t>
      </w:r>
      <w:r w:rsidR="008C4469" w:rsidRPr="00C640D6">
        <w:rPr>
          <w:rFonts w:cs="Times New Roman"/>
        </w:rPr>
        <w:t>tion, and consuming</w:t>
      </w:r>
      <w:r w:rsidRPr="00C640D6">
        <w:rPr>
          <w:rFonts w:cs="Times New Roman"/>
        </w:rPr>
        <w:t xml:space="preserve"> substances that reduce iron absorption.</w:t>
      </w:r>
      <w:r w:rsidR="008C4469" w:rsidRPr="00C640D6">
        <w:rPr>
          <w:rStyle w:val="FootnoteReference"/>
          <w:rFonts w:cs="Times New Roman"/>
        </w:rPr>
        <w:footnoteReference w:id="24"/>
      </w:r>
      <w:r w:rsidRPr="00C640D6">
        <w:rPr>
          <w:rFonts w:cs="Times New Roman"/>
        </w:rPr>
        <w:t xml:space="preserve">  </w:t>
      </w:r>
      <w:r w:rsidR="0039083F" w:rsidRPr="00C640D6">
        <w:rPr>
          <w:rFonts w:cs="Times New Roman"/>
        </w:rPr>
        <w:t xml:space="preserve">Of these, the simplest is avoiding substances that are </w:t>
      </w:r>
      <w:r w:rsidR="00233198" w:rsidRPr="00C640D6">
        <w:rPr>
          <w:rFonts w:cs="Times New Roman"/>
        </w:rPr>
        <w:t xml:space="preserve">high in iron, </w:t>
      </w:r>
      <w:r w:rsidR="00530DB9" w:rsidRPr="00C640D6">
        <w:rPr>
          <w:rFonts w:cs="Times New Roman"/>
        </w:rPr>
        <w:t>which include</w:t>
      </w:r>
      <w:r w:rsidR="00233198" w:rsidRPr="00C640D6">
        <w:rPr>
          <w:rFonts w:cs="Times New Roman"/>
        </w:rPr>
        <w:t xml:space="preserve">: </w:t>
      </w:r>
      <w:r w:rsidR="00530DB9" w:rsidRPr="00C640D6">
        <w:rPr>
          <w:rFonts w:cs="Times New Roman"/>
        </w:rPr>
        <w:t>red meat, liver</w:t>
      </w:r>
      <w:r w:rsidR="00FF53A9" w:rsidRPr="00C640D6">
        <w:rPr>
          <w:rFonts w:cs="Times New Roman"/>
        </w:rPr>
        <w:t>, seafood, enriche</w:t>
      </w:r>
      <w:r w:rsidR="00233198" w:rsidRPr="00C640D6">
        <w:rPr>
          <w:rFonts w:cs="Times New Roman"/>
        </w:rPr>
        <w:t>d/fortified grains, and spinach.</w:t>
      </w:r>
      <w:r w:rsidR="00233198" w:rsidRPr="00C640D6">
        <w:rPr>
          <w:rStyle w:val="FootnoteReference"/>
          <w:rFonts w:cs="Times New Roman"/>
        </w:rPr>
        <w:footnoteReference w:id="25"/>
      </w:r>
      <w:r w:rsidR="00233198" w:rsidRPr="00C640D6">
        <w:rPr>
          <w:rFonts w:cs="Times New Roman"/>
        </w:rPr>
        <w:t xml:space="preserve"> </w:t>
      </w:r>
      <w:r w:rsidR="00FF53A9" w:rsidRPr="00C640D6">
        <w:rPr>
          <w:rFonts w:cs="Times New Roman"/>
        </w:rPr>
        <w:t xml:space="preserve"> </w:t>
      </w:r>
      <w:r w:rsidR="00233198" w:rsidRPr="00C640D6">
        <w:rPr>
          <w:rFonts w:cs="Times New Roman"/>
        </w:rPr>
        <w:t xml:space="preserve">Substances that increase iron </w:t>
      </w:r>
      <w:r w:rsidR="00FF53A9" w:rsidRPr="00C640D6">
        <w:rPr>
          <w:rFonts w:cs="Times New Roman"/>
        </w:rPr>
        <w:t>abso</w:t>
      </w:r>
      <w:r w:rsidR="006E0A2D" w:rsidRPr="00C640D6">
        <w:rPr>
          <w:rFonts w:cs="Times New Roman"/>
        </w:rPr>
        <w:t>rption</w:t>
      </w:r>
      <w:r w:rsidR="00233198" w:rsidRPr="00C640D6">
        <w:rPr>
          <w:rFonts w:cs="Times New Roman"/>
        </w:rPr>
        <w:t>, such as ascorbic acid and alcohol,</w:t>
      </w:r>
      <w:r w:rsidR="006E0A2D" w:rsidRPr="00C640D6">
        <w:rPr>
          <w:rFonts w:cs="Times New Roman"/>
        </w:rPr>
        <w:t xml:space="preserve"> are also relatively </w:t>
      </w:r>
      <w:r w:rsidR="00233198" w:rsidRPr="00C640D6">
        <w:rPr>
          <w:rFonts w:cs="Times New Roman"/>
        </w:rPr>
        <w:t xml:space="preserve">well known </w:t>
      </w:r>
      <w:r w:rsidR="00FF53A9" w:rsidRPr="00C640D6">
        <w:rPr>
          <w:rFonts w:cs="Times New Roman"/>
        </w:rPr>
        <w:t xml:space="preserve">because of their </w:t>
      </w:r>
      <w:r w:rsidR="00D14BDF" w:rsidRPr="00C640D6">
        <w:rPr>
          <w:rFonts w:cs="Times New Roman"/>
        </w:rPr>
        <w:t>role in treatment of</w:t>
      </w:r>
      <w:r w:rsidR="00FF53A9" w:rsidRPr="00C640D6">
        <w:rPr>
          <w:rFonts w:cs="Times New Roman"/>
        </w:rPr>
        <w:t xml:space="preserve"> patients </w:t>
      </w:r>
      <w:r w:rsidR="00D14BDF" w:rsidRPr="00C640D6">
        <w:rPr>
          <w:rFonts w:cs="Times New Roman"/>
        </w:rPr>
        <w:t>who need to increase iron absorption</w:t>
      </w:r>
      <w:r w:rsidR="00233198" w:rsidRPr="00C640D6">
        <w:rPr>
          <w:rFonts w:cs="Times New Roman"/>
        </w:rPr>
        <w:t>.</w:t>
      </w:r>
      <w:r w:rsidR="00233198" w:rsidRPr="00C640D6">
        <w:rPr>
          <w:rStyle w:val="FootnoteReference"/>
          <w:rFonts w:cs="Times New Roman"/>
        </w:rPr>
        <w:footnoteReference w:id="26"/>
      </w:r>
      <w:r w:rsidR="00233198" w:rsidRPr="00C640D6">
        <w:rPr>
          <w:rFonts w:cs="Times New Roman"/>
        </w:rPr>
        <w:t xml:space="preserve">  </w:t>
      </w:r>
      <w:r w:rsidR="006E0A2D" w:rsidRPr="00C640D6">
        <w:rPr>
          <w:rFonts w:cs="Times New Roman"/>
        </w:rPr>
        <w:t xml:space="preserve">There are several compounds thought to decrease </w:t>
      </w:r>
      <w:r w:rsidR="00D14BDF" w:rsidRPr="00C640D6">
        <w:rPr>
          <w:rFonts w:cs="Times New Roman"/>
        </w:rPr>
        <w:t xml:space="preserve">dietary iron </w:t>
      </w:r>
      <w:r w:rsidR="006E0A2D" w:rsidRPr="00C640D6">
        <w:rPr>
          <w:rFonts w:cs="Times New Roman"/>
        </w:rPr>
        <w:t>absorption</w:t>
      </w:r>
      <w:r w:rsidR="00D14BDF" w:rsidRPr="00C640D6">
        <w:rPr>
          <w:rFonts w:cs="Times New Roman"/>
        </w:rPr>
        <w:t xml:space="preserve">, including: </w:t>
      </w:r>
      <w:r w:rsidR="00233198" w:rsidRPr="00C640D6">
        <w:rPr>
          <w:rFonts w:cs="Times New Roman"/>
        </w:rPr>
        <w:t xml:space="preserve">tannins, </w:t>
      </w:r>
      <w:r w:rsidR="006E0A2D" w:rsidRPr="00C640D6">
        <w:rPr>
          <w:rFonts w:cs="Times New Roman"/>
        </w:rPr>
        <w:t>polyphenols</w:t>
      </w:r>
      <w:r w:rsidR="00233198" w:rsidRPr="00C640D6">
        <w:rPr>
          <w:rFonts w:cs="Times New Roman"/>
        </w:rPr>
        <w:t>,</w:t>
      </w:r>
      <w:r w:rsidR="006E0A2D" w:rsidRPr="00C640D6">
        <w:rPr>
          <w:rFonts w:cs="Times New Roman"/>
        </w:rPr>
        <w:t xml:space="preserve"> calcium</w:t>
      </w:r>
      <w:r w:rsidR="00233198" w:rsidRPr="00C640D6">
        <w:rPr>
          <w:rFonts w:cs="Times New Roman"/>
        </w:rPr>
        <w:t>,</w:t>
      </w:r>
      <w:r w:rsidR="006E0A2D" w:rsidRPr="00C640D6">
        <w:rPr>
          <w:rFonts w:cs="Times New Roman"/>
        </w:rPr>
        <w:t xml:space="preserve"> and oxalates</w:t>
      </w:r>
      <w:r w:rsidR="00233198" w:rsidRPr="00C640D6">
        <w:rPr>
          <w:rFonts w:cs="Times New Roman"/>
        </w:rPr>
        <w:t>.</w:t>
      </w:r>
      <w:r w:rsidR="00233198" w:rsidRPr="00C640D6">
        <w:rPr>
          <w:rStyle w:val="FootnoteReference"/>
          <w:rFonts w:cs="Times New Roman"/>
        </w:rPr>
        <w:footnoteReference w:id="27"/>
      </w:r>
      <w:r w:rsidR="00233198" w:rsidRPr="00C640D6">
        <w:rPr>
          <w:rFonts w:cs="Times New Roman"/>
        </w:rPr>
        <w:t xml:space="preserve">  </w:t>
      </w:r>
      <w:r w:rsidR="006E0A2D" w:rsidRPr="00C640D6">
        <w:rPr>
          <w:rFonts w:cs="Times New Roman"/>
        </w:rPr>
        <w:t xml:space="preserve">However, </w:t>
      </w:r>
      <w:r w:rsidR="00233198" w:rsidRPr="00C640D6">
        <w:rPr>
          <w:rFonts w:cs="Times New Roman"/>
        </w:rPr>
        <w:t>their precise effects are neither confirmed nor understood</w:t>
      </w:r>
      <w:r w:rsidR="006E0A2D" w:rsidRPr="00C640D6">
        <w:rPr>
          <w:rFonts w:cs="Times New Roman"/>
        </w:rPr>
        <w:t xml:space="preserve">.  </w:t>
      </w:r>
      <w:r w:rsidR="00E94240" w:rsidRPr="00C640D6">
        <w:rPr>
          <w:rFonts w:cs="Times New Roman"/>
        </w:rPr>
        <w:t>What I hope to accomplish in this study is to clarify the effect of oxalates, a particular compound suspected to inhibit iron absorption, on bodily iron levels.</w:t>
      </w:r>
    </w:p>
    <w:p w14:paraId="02DB9995" w14:textId="41D86D22" w:rsidR="009A0F15" w:rsidRPr="00C640D6" w:rsidRDefault="0039083F" w:rsidP="009A0F15">
      <w:pPr>
        <w:ind w:firstLine="720"/>
        <w:rPr>
          <w:rFonts w:cs="Times New Roman"/>
        </w:rPr>
      </w:pPr>
      <w:r w:rsidRPr="00C640D6">
        <w:rPr>
          <w:rFonts w:cs="Times New Roman"/>
        </w:rPr>
        <w:t>Oxal</w:t>
      </w:r>
      <w:r w:rsidR="00E94240" w:rsidRPr="00C640D6">
        <w:rPr>
          <w:rFonts w:cs="Times New Roman"/>
        </w:rPr>
        <w:t xml:space="preserve">ate </w:t>
      </w:r>
      <w:r w:rsidRPr="00C640D6">
        <w:rPr>
          <w:rFonts w:cs="Times New Roman"/>
        </w:rPr>
        <w:t>is a</w:t>
      </w:r>
      <w:r w:rsidR="00E94240" w:rsidRPr="00C640D6">
        <w:rPr>
          <w:rFonts w:cs="Times New Roman"/>
        </w:rPr>
        <w:t>n</w:t>
      </w:r>
      <w:r w:rsidRPr="00C640D6">
        <w:rPr>
          <w:rFonts w:cs="Times New Roman"/>
        </w:rPr>
        <w:t xml:space="preserve"> iron chelator, similar to</w:t>
      </w:r>
      <w:r w:rsidR="00E94240" w:rsidRPr="00C640D6">
        <w:rPr>
          <w:rFonts w:cs="Times New Roman"/>
        </w:rPr>
        <w:t xml:space="preserve"> hepcidin and</w:t>
      </w:r>
      <w:r w:rsidRPr="00C640D6">
        <w:rPr>
          <w:rFonts w:cs="Times New Roman"/>
        </w:rPr>
        <w:t xml:space="preserve"> hemochromatosi</w:t>
      </w:r>
      <w:r w:rsidR="00E94240" w:rsidRPr="00C640D6">
        <w:rPr>
          <w:rFonts w:cs="Times New Roman"/>
        </w:rPr>
        <w:t>s treatment drugs</w:t>
      </w:r>
      <w:r w:rsidRPr="00C640D6">
        <w:rPr>
          <w:rFonts w:cs="Times New Roman"/>
        </w:rPr>
        <w:t xml:space="preserve">.  </w:t>
      </w:r>
      <w:r w:rsidR="00AE0F6E" w:rsidRPr="00C640D6">
        <w:rPr>
          <w:rFonts w:cs="Times New Roman"/>
        </w:rPr>
        <w:t>However, oxal</w:t>
      </w:r>
      <w:r w:rsidR="00E94240" w:rsidRPr="00C640D6">
        <w:rPr>
          <w:rFonts w:cs="Times New Roman"/>
        </w:rPr>
        <w:t xml:space="preserve">ate </w:t>
      </w:r>
      <w:r w:rsidR="00AE0F6E" w:rsidRPr="00C640D6">
        <w:rPr>
          <w:rFonts w:cs="Times New Roman"/>
        </w:rPr>
        <w:t>is unique becaus</w:t>
      </w:r>
      <w:r w:rsidR="00E94240" w:rsidRPr="00C640D6">
        <w:rPr>
          <w:rFonts w:cs="Times New Roman"/>
        </w:rPr>
        <w:t>e of its relationship to oxalic acid; w</w:t>
      </w:r>
      <w:r w:rsidR="00AE0F6E" w:rsidRPr="00C640D6">
        <w:rPr>
          <w:rFonts w:cs="Times New Roman"/>
        </w:rPr>
        <w:t>h</w:t>
      </w:r>
      <w:r w:rsidR="00E94240" w:rsidRPr="00C640D6">
        <w:rPr>
          <w:rFonts w:cs="Times New Roman"/>
        </w:rPr>
        <w:t>en heat is applied</w:t>
      </w:r>
      <w:r w:rsidR="00AE0F6E" w:rsidRPr="00C640D6">
        <w:rPr>
          <w:rFonts w:cs="Times New Roman"/>
        </w:rPr>
        <w:t xml:space="preserve">, </w:t>
      </w:r>
      <w:r w:rsidR="00D14BDF" w:rsidRPr="00C640D6">
        <w:rPr>
          <w:rFonts w:cs="Times New Roman"/>
        </w:rPr>
        <w:t>oxalate</w:t>
      </w:r>
      <w:r w:rsidR="00AE0F6E" w:rsidRPr="00C640D6">
        <w:rPr>
          <w:rFonts w:cs="Times New Roman"/>
        </w:rPr>
        <w:t xml:space="preserve"> </w:t>
      </w:r>
      <w:r w:rsidR="00D14BDF" w:rsidRPr="00C640D6">
        <w:rPr>
          <w:rFonts w:cs="Times New Roman"/>
        </w:rPr>
        <w:t>transforms</w:t>
      </w:r>
      <w:r w:rsidR="00AE0F6E" w:rsidRPr="00C640D6">
        <w:rPr>
          <w:rFonts w:cs="Times New Roman"/>
        </w:rPr>
        <w:t xml:space="preserve"> into oxalic acid.</w:t>
      </w:r>
      <w:r w:rsidR="00E94240" w:rsidRPr="00C640D6">
        <w:rPr>
          <w:rStyle w:val="FootnoteReference"/>
          <w:rFonts w:cs="Times New Roman"/>
        </w:rPr>
        <w:footnoteReference w:id="28"/>
      </w:r>
      <w:r w:rsidR="00AE0F6E" w:rsidRPr="00C640D6">
        <w:rPr>
          <w:rFonts w:cs="Times New Roman"/>
        </w:rPr>
        <w:t xml:space="preserve"> </w:t>
      </w:r>
      <w:r w:rsidR="00E94240" w:rsidRPr="00C640D6">
        <w:rPr>
          <w:rFonts w:cs="Times New Roman"/>
        </w:rPr>
        <w:t xml:space="preserve"> </w:t>
      </w:r>
      <w:r w:rsidR="009A0F15" w:rsidRPr="00C640D6">
        <w:rPr>
          <w:rFonts w:cs="Times New Roman"/>
        </w:rPr>
        <w:t xml:space="preserve">It is unknown if oxalic acid has the same iron chelation potential that oxalates do.  </w:t>
      </w:r>
      <w:r w:rsidR="00AE0F6E" w:rsidRPr="00C640D6">
        <w:rPr>
          <w:rFonts w:cs="Times New Roman"/>
        </w:rPr>
        <w:t xml:space="preserve">In general, it is recommended that substances </w:t>
      </w:r>
      <w:r w:rsidR="00D14BDF" w:rsidRPr="00C640D6">
        <w:rPr>
          <w:rFonts w:cs="Times New Roman"/>
        </w:rPr>
        <w:t>containing</w:t>
      </w:r>
      <w:r w:rsidR="00AE0F6E" w:rsidRPr="00C640D6">
        <w:rPr>
          <w:rFonts w:cs="Times New Roman"/>
        </w:rPr>
        <w:t xml:space="preserve"> either compound be consumed in moderation due to the</w:t>
      </w:r>
      <w:r w:rsidR="00E94240" w:rsidRPr="00C640D6">
        <w:rPr>
          <w:rFonts w:cs="Times New Roman"/>
        </w:rPr>
        <w:t>ir</w:t>
      </w:r>
      <w:r w:rsidR="009A0F15" w:rsidRPr="00C640D6">
        <w:rPr>
          <w:rFonts w:cs="Times New Roman"/>
        </w:rPr>
        <w:t xml:space="preserve"> </w:t>
      </w:r>
      <w:r w:rsidR="00AE0F6E" w:rsidRPr="00C640D6">
        <w:rPr>
          <w:rFonts w:cs="Times New Roman"/>
        </w:rPr>
        <w:t>toxicity.</w:t>
      </w:r>
      <w:r w:rsidR="00E94240" w:rsidRPr="00C640D6">
        <w:rPr>
          <w:rStyle w:val="FootnoteReference"/>
          <w:rFonts w:cs="Times New Roman"/>
        </w:rPr>
        <w:footnoteReference w:id="29"/>
      </w:r>
      <w:r w:rsidR="00AE0F6E" w:rsidRPr="00C640D6">
        <w:rPr>
          <w:rFonts w:cs="Times New Roman"/>
        </w:rPr>
        <w:t xml:space="preserve">  However, the reasons that the compounds are toxic to </w:t>
      </w:r>
      <w:r w:rsidR="00D14BDF" w:rsidRPr="00C640D6">
        <w:rPr>
          <w:rFonts w:cs="Times New Roman"/>
        </w:rPr>
        <w:t>many</w:t>
      </w:r>
      <w:r w:rsidR="00AE0F6E" w:rsidRPr="00C640D6">
        <w:rPr>
          <w:rFonts w:cs="Times New Roman"/>
        </w:rPr>
        <w:t xml:space="preserve"> could pose a </w:t>
      </w:r>
      <w:r w:rsidR="00E94240" w:rsidRPr="00C640D6">
        <w:rPr>
          <w:rFonts w:cs="Times New Roman"/>
        </w:rPr>
        <w:t>significant</w:t>
      </w:r>
      <w:r w:rsidR="00AE0F6E" w:rsidRPr="00C640D6">
        <w:rPr>
          <w:rFonts w:cs="Times New Roman"/>
        </w:rPr>
        <w:t xml:space="preserve"> benefit to </w:t>
      </w:r>
      <w:r w:rsidR="00D14BDF" w:rsidRPr="00C640D6">
        <w:rPr>
          <w:rFonts w:cs="Times New Roman"/>
        </w:rPr>
        <w:t xml:space="preserve">a select few: </w:t>
      </w:r>
      <w:r w:rsidR="00AE0F6E" w:rsidRPr="00C640D6">
        <w:rPr>
          <w:rFonts w:cs="Times New Roman"/>
        </w:rPr>
        <w:t xml:space="preserve">hemochromatosis patients.  </w:t>
      </w:r>
      <w:r w:rsidR="002E435D" w:rsidRPr="00C640D6">
        <w:rPr>
          <w:rFonts w:cs="Times New Roman"/>
        </w:rPr>
        <w:t>Oxalate</w:t>
      </w:r>
      <w:r w:rsidR="00E94240" w:rsidRPr="00C640D6">
        <w:rPr>
          <w:rFonts w:cs="Times New Roman"/>
        </w:rPr>
        <w:t xml:space="preserve"> bind</w:t>
      </w:r>
      <w:r w:rsidR="002E435D" w:rsidRPr="00C640D6">
        <w:rPr>
          <w:rFonts w:cs="Times New Roman"/>
        </w:rPr>
        <w:t>s</w:t>
      </w:r>
      <w:r w:rsidR="00AE0F6E" w:rsidRPr="00C640D6">
        <w:rPr>
          <w:rFonts w:cs="Times New Roman"/>
        </w:rPr>
        <w:t xml:space="preserve"> minerals</w:t>
      </w:r>
      <w:r w:rsidR="00E94240" w:rsidRPr="00C640D6">
        <w:rPr>
          <w:rFonts w:cs="Times New Roman"/>
        </w:rPr>
        <w:t xml:space="preserve"> and metals</w:t>
      </w:r>
      <w:r w:rsidR="00AE0F6E" w:rsidRPr="00C640D6">
        <w:rPr>
          <w:rFonts w:cs="Times New Roman"/>
        </w:rPr>
        <w:t xml:space="preserve">, including </w:t>
      </w:r>
      <w:r w:rsidR="00E94240" w:rsidRPr="00C640D6">
        <w:rPr>
          <w:rFonts w:cs="Times New Roman"/>
        </w:rPr>
        <w:t>iron, before the body can absorb them</w:t>
      </w:r>
      <w:r w:rsidR="002E435D" w:rsidRPr="00C640D6">
        <w:rPr>
          <w:rFonts w:cs="Times New Roman"/>
        </w:rPr>
        <w:t xml:space="preserve">; </w:t>
      </w:r>
      <w:r w:rsidR="00D14BDF" w:rsidRPr="00C640D6">
        <w:rPr>
          <w:rFonts w:cs="Times New Roman"/>
        </w:rPr>
        <w:t>therefore,</w:t>
      </w:r>
      <w:r w:rsidR="002E435D" w:rsidRPr="00C640D6">
        <w:rPr>
          <w:rFonts w:cs="Times New Roman"/>
        </w:rPr>
        <w:t xml:space="preserve"> the compound</w:t>
      </w:r>
      <w:r w:rsidR="00E94240" w:rsidRPr="00C640D6">
        <w:rPr>
          <w:rFonts w:cs="Times New Roman"/>
        </w:rPr>
        <w:t xml:space="preserve"> should be</w:t>
      </w:r>
      <w:r w:rsidR="002E435D" w:rsidRPr="00C640D6">
        <w:rPr>
          <w:rFonts w:cs="Times New Roman"/>
        </w:rPr>
        <w:t xml:space="preserve"> a good iron chelator</w:t>
      </w:r>
      <w:r w:rsidR="00AE0F6E" w:rsidRPr="00C640D6">
        <w:rPr>
          <w:rFonts w:cs="Times New Roman"/>
        </w:rPr>
        <w:t>.</w:t>
      </w:r>
      <w:r w:rsidR="006D2A8F">
        <w:rPr>
          <w:rFonts w:cs="Times New Roman"/>
        </w:rPr>
        <w:t xml:space="preserve"> </w:t>
      </w:r>
      <w:r w:rsidR="00AE0F6E" w:rsidRPr="00C640D6">
        <w:rPr>
          <w:rFonts w:cs="Times New Roman"/>
        </w:rPr>
        <w:t xml:space="preserve"> While </w:t>
      </w:r>
      <w:r w:rsidR="00E94240" w:rsidRPr="00C640D6">
        <w:rPr>
          <w:rFonts w:cs="Times New Roman"/>
        </w:rPr>
        <w:t>iron chelators are</w:t>
      </w:r>
      <w:r w:rsidR="00AE0F6E" w:rsidRPr="00C640D6">
        <w:rPr>
          <w:rFonts w:cs="Times New Roman"/>
        </w:rPr>
        <w:t xml:space="preserve"> </w:t>
      </w:r>
      <w:r w:rsidR="00E94240" w:rsidRPr="00C640D6">
        <w:rPr>
          <w:rFonts w:cs="Times New Roman"/>
        </w:rPr>
        <w:t>dangerous to</w:t>
      </w:r>
      <w:r w:rsidR="00AE0F6E" w:rsidRPr="00C640D6">
        <w:rPr>
          <w:rFonts w:cs="Times New Roman"/>
        </w:rPr>
        <w:t xml:space="preserve"> someone </w:t>
      </w:r>
      <w:r w:rsidR="00E94240" w:rsidRPr="00C640D6">
        <w:rPr>
          <w:rFonts w:cs="Times New Roman"/>
        </w:rPr>
        <w:t>with</w:t>
      </w:r>
      <w:r w:rsidR="00AE0F6E" w:rsidRPr="00C640D6">
        <w:rPr>
          <w:rFonts w:cs="Times New Roman"/>
        </w:rPr>
        <w:t xml:space="preserve"> low to normal blood iron levels, </w:t>
      </w:r>
      <w:r w:rsidR="00E94240" w:rsidRPr="00C640D6">
        <w:rPr>
          <w:rFonts w:cs="Times New Roman"/>
        </w:rPr>
        <w:t>they can</w:t>
      </w:r>
      <w:r w:rsidR="00AE0F6E" w:rsidRPr="00C640D6">
        <w:rPr>
          <w:rFonts w:cs="Times New Roman"/>
        </w:rPr>
        <w:t xml:space="preserve"> greatly reduce symptoms </w:t>
      </w:r>
      <w:r w:rsidR="00E94240" w:rsidRPr="00C640D6">
        <w:rPr>
          <w:rFonts w:cs="Times New Roman"/>
        </w:rPr>
        <w:t>in hemochromatosis patients</w:t>
      </w:r>
      <w:r w:rsidR="00AE0F6E" w:rsidRPr="00C640D6">
        <w:rPr>
          <w:rFonts w:cs="Times New Roman"/>
        </w:rPr>
        <w:t>.</w:t>
      </w:r>
      <w:r w:rsidR="002E435D" w:rsidRPr="00C640D6">
        <w:rPr>
          <w:rFonts w:cs="Times New Roman"/>
        </w:rPr>
        <w:t xml:space="preserve">  Many common vegetables</w:t>
      </w:r>
      <w:r w:rsidR="00D14BDF" w:rsidRPr="00C640D6">
        <w:rPr>
          <w:rFonts w:cs="Times New Roman"/>
        </w:rPr>
        <w:t>,</w:t>
      </w:r>
      <w:r w:rsidR="002E435D" w:rsidRPr="00C640D6">
        <w:rPr>
          <w:rFonts w:cs="Times New Roman"/>
        </w:rPr>
        <w:t xml:space="preserve"> </w:t>
      </w:r>
      <w:r w:rsidR="00874BC8" w:rsidRPr="00C640D6">
        <w:rPr>
          <w:rFonts w:cs="Times New Roman"/>
        </w:rPr>
        <w:t>such as rhubarb, spinach, and beets</w:t>
      </w:r>
      <w:r w:rsidR="00D14BDF" w:rsidRPr="00C640D6">
        <w:rPr>
          <w:rFonts w:cs="Times New Roman"/>
        </w:rPr>
        <w:t>,</w:t>
      </w:r>
      <w:r w:rsidR="00874BC8" w:rsidRPr="00C640D6">
        <w:rPr>
          <w:rFonts w:cs="Times New Roman"/>
        </w:rPr>
        <w:t xml:space="preserve"> </w:t>
      </w:r>
      <w:r w:rsidR="002E435D" w:rsidRPr="00C640D6">
        <w:rPr>
          <w:rFonts w:cs="Times New Roman"/>
        </w:rPr>
        <w:t xml:space="preserve">have </w:t>
      </w:r>
      <w:r w:rsidR="00874BC8" w:rsidRPr="00C640D6">
        <w:rPr>
          <w:rFonts w:cs="Times New Roman"/>
        </w:rPr>
        <w:t xml:space="preserve">naturally </w:t>
      </w:r>
      <w:r w:rsidR="002E435D" w:rsidRPr="00C640D6">
        <w:rPr>
          <w:rFonts w:cs="Times New Roman"/>
        </w:rPr>
        <w:t>high levels of oxalate</w:t>
      </w:r>
      <w:r w:rsidR="00874BC8" w:rsidRPr="00C640D6">
        <w:rPr>
          <w:rFonts w:cs="Times New Roman"/>
        </w:rPr>
        <w:t>s</w:t>
      </w:r>
      <w:r w:rsidR="002E435D" w:rsidRPr="00C640D6">
        <w:rPr>
          <w:rFonts w:cs="Times New Roman"/>
        </w:rPr>
        <w:t>.</w:t>
      </w:r>
      <w:r w:rsidR="002E435D" w:rsidRPr="00C640D6">
        <w:rPr>
          <w:rStyle w:val="FootnoteReference"/>
          <w:rFonts w:cs="Times New Roman"/>
        </w:rPr>
        <w:footnoteReference w:id="30"/>
      </w:r>
      <w:r w:rsidR="009A0F15" w:rsidRPr="00C640D6">
        <w:rPr>
          <w:rFonts w:cs="Times New Roman"/>
        </w:rPr>
        <w:t xml:space="preserve"> </w:t>
      </w:r>
    </w:p>
    <w:p w14:paraId="44395EB7" w14:textId="18F8D2B6" w:rsidR="008A41A2" w:rsidRPr="00C640D6" w:rsidRDefault="009A0F15" w:rsidP="009A0F15">
      <w:pPr>
        <w:ind w:firstLine="720"/>
        <w:rPr>
          <w:rFonts w:cs="Times New Roman"/>
        </w:rPr>
      </w:pPr>
      <w:r w:rsidRPr="00C640D6">
        <w:rPr>
          <w:rFonts w:cs="Times New Roman"/>
        </w:rPr>
        <w:t>T</w:t>
      </w:r>
      <w:r w:rsidR="00E80296" w:rsidRPr="00C640D6">
        <w:rPr>
          <w:rFonts w:cs="Times New Roman"/>
        </w:rPr>
        <w:t xml:space="preserve">his study </w:t>
      </w:r>
      <w:r w:rsidRPr="00C640D6">
        <w:rPr>
          <w:rFonts w:cs="Times New Roman"/>
        </w:rPr>
        <w:t xml:space="preserve">will evaluate </w:t>
      </w:r>
      <w:r w:rsidR="00E80296" w:rsidRPr="00C640D6">
        <w:rPr>
          <w:rFonts w:cs="Times New Roman"/>
        </w:rPr>
        <w:t xml:space="preserve">the effectiveness </w:t>
      </w:r>
      <w:r w:rsidR="00D92EA0" w:rsidRPr="00C640D6">
        <w:rPr>
          <w:rFonts w:cs="Times New Roman"/>
        </w:rPr>
        <w:t xml:space="preserve">of oxalates </w:t>
      </w:r>
      <w:r w:rsidR="00EC37B1" w:rsidRPr="00C640D6">
        <w:rPr>
          <w:rFonts w:cs="Times New Roman"/>
        </w:rPr>
        <w:t>and oxalic acid in spinach as</w:t>
      </w:r>
      <w:r w:rsidR="00D92EA0" w:rsidRPr="00C640D6">
        <w:rPr>
          <w:rFonts w:cs="Times New Roman"/>
        </w:rPr>
        <w:t xml:space="preserve"> iron chelator</w:t>
      </w:r>
      <w:r w:rsidR="00EC37B1" w:rsidRPr="00C640D6">
        <w:rPr>
          <w:rFonts w:cs="Times New Roman"/>
        </w:rPr>
        <w:t>s</w:t>
      </w:r>
      <w:r w:rsidR="00E80296" w:rsidRPr="00C640D6">
        <w:rPr>
          <w:rFonts w:cs="Times New Roman"/>
        </w:rPr>
        <w:t xml:space="preserve">.  </w:t>
      </w:r>
      <w:r w:rsidR="007F671D" w:rsidRPr="00C640D6">
        <w:rPr>
          <w:rFonts w:cs="Times New Roman"/>
        </w:rPr>
        <w:t xml:space="preserve">Spinach was selected </w:t>
      </w:r>
      <w:r w:rsidR="00D92EA0" w:rsidRPr="00C640D6">
        <w:rPr>
          <w:rFonts w:cs="Times New Roman"/>
        </w:rPr>
        <w:t>because it</w:t>
      </w:r>
      <w:r w:rsidR="007F671D" w:rsidRPr="00C640D6">
        <w:rPr>
          <w:rFonts w:cs="Times New Roman"/>
        </w:rPr>
        <w:t xml:space="preserve"> is high in </w:t>
      </w:r>
      <w:r w:rsidR="00D92EA0" w:rsidRPr="00C640D6">
        <w:rPr>
          <w:rFonts w:cs="Times New Roman"/>
        </w:rPr>
        <w:t>iron and oxalates; a</w:t>
      </w:r>
      <w:r w:rsidR="007F671D" w:rsidRPr="00C640D6">
        <w:rPr>
          <w:rFonts w:cs="Times New Roman"/>
        </w:rPr>
        <w:t>dditionally, it is relatively inexpensive</w:t>
      </w:r>
      <w:r w:rsidR="00D92EA0" w:rsidRPr="00C640D6">
        <w:rPr>
          <w:rFonts w:cs="Times New Roman"/>
        </w:rPr>
        <w:t xml:space="preserve"> </w:t>
      </w:r>
      <w:r w:rsidR="007F671D" w:rsidRPr="00C640D6">
        <w:rPr>
          <w:rFonts w:cs="Times New Roman"/>
        </w:rPr>
        <w:t>and easy to prepare.</w:t>
      </w:r>
      <w:r w:rsidR="00D92EA0" w:rsidRPr="00C640D6">
        <w:rPr>
          <w:rStyle w:val="FootnoteReference"/>
          <w:rFonts w:cs="Times New Roman"/>
        </w:rPr>
        <w:footnoteReference w:id="31"/>
      </w:r>
      <w:r w:rsidR="007F671D" w:rsidRPr="00C640D6">
        <w:rPr>
          <w:rFonts w:cs="Times New Roman"/>
        </w:rPr>
        <w:t xml:space="preserve">  </w:t>
      </w:r>
      <w:r w:rsidR="00E80296" w:rsidRPr="00C640D6">
        <w:rPr>
          <w:rFonts w:cs="Times New Roman"/>
        </w:rPr>
        <w:t xml:space="preserve">Participants will </w:t>
      </w:r>
      <w:r w:rsidR="00D92EA0" w:rsidRPr="00C640D6">
        <w:rPr>
          <w:rFonts w:cs="Times New Roman"/>
        </w:rPr>
        <w:t>consume</w:t>
      </w:r>
      <w:r w:rsidR="00E80296" w:rsidRPr="00C640D6">
        <w:rPr>
          <w:rFonts w:cs="Times New Roman"/>
        </w:rPr>
        <w:t xml:space="preserve"> one of several </w:t>
      </w:r>
      <w:r w:rsidR="007F671D" w:rsidRPr="00C640D6">
        <w:rPr>
          <w:rFonts w:cs="Times New Roman"/>
        </w:rPr>
        <w:t>variation</w:t>
      </w:r>
      <w:r w:rsidR="00E80296" w:rsidRPr="00C640D6">
        <w:rPr>
          <w:rFonts w:cs="Times New Roman"/>
        </w:rPr>
        <w:t>s of prepared spinach, before and a</w:t>
      </w:r>
      <w:r w:rsidR="00BD59E6" w:rsidRPr="00C640D6">
        <w:rPr>
          <w:rFonts w:cs="Times New Roman"/>
        </w:rPr>
        <w:t>fter which iron and</w:t>
      </w:r>
      <w:r w:rsidR="000A372B">
        <w:rPr>
          <w:rFonts w:cs="Times New Roman"/>
        </w:rPr>
        <w:t xml:space="preserve"> </w:t>
      </w:r>
      <w:r w:rsidR="00E80296" w:rsidRPr="00C640D6">
        <w:rPr>
          <w:rFonts w:cs="Times New Roman"/>
        </w:rPr>
        <w:t>oxalate</w:t>
      </w:r>
      <w:r w:rsidR="00D92EA0" w:rsidRPr="00C640D6">
        <w:rPr>
          <w:rFonts w:cs="Times New Roman"/>
        </w:rPr>
        <w:t xml:space="preserve"> levels</w:t>
      </w:r>
      <w:r w:rsidR="00E80296" w:rsidRPr="00C640D6">
        <w:rPr>
          <w:rFonts w:cs="Times New Roman"/>
        </w:rPr>
        <w:t xml:space="preserve"> will be measured.  </w:t>
      </w:r>
      <w:r w:rsidR="00FF53A9" w:rsidRPr="00C640D6">
        <w:rPr>
          <w:rFonts w:cs="Times New Roman"/>
        </w:rPr>
        <w:t xml:space="preserve">What follows is a basic summary of </w:t>
      </w:r>
      <w:r w:rsidR="00D92EA0" w:rsidRPr="00C640D6">
        <w:rPr>
          <w:rFonts w:cs="Times New Roman"/>
        </w:rPr>
        <w:t xml:space="preserve">the </w:t>
      </w:r>
      <w:r w:rsidR="00FF53A9" w:rsidRPr="00C640D6">
        <w:rPr>
          <w:rFonts w:cs="Times New Roman"/>
        </w:rPr>
        <w:t>methodology for this</w:t>
      </w:r>
      <w:r w:rsidR="007F671D" w:rsidRPr="00C640D6">
        <w:rPr>
          <w:rFonts w:cs="Times New Roman"/>
        </w:rPr>
        <w:t xml:space="preserve"> proposed</w:t>
      </w:r>
      <w:r w:rsidR="00FF53A9" w:rsidRPr="00C640D6">
        <w:rPr>
          <w:rFonts w:cs="Times New Roman"/>
        </w:rPr>
        <w:t xml:space="preserve"> </w:t>
      </w:r>
      <w:r w:rsidR="00D92EA0" w:rsidRPr="00C640D6">
        <w:rPr>
          <w:rFonts w:cs="Times New Roman"/>
        </w:rPr>
        <w:t>study</w:t>
      </w:r>
      <w:r w:rsidR="00FF53A9" w:rsidRPr="00C640D6">
        <w:rPr>
          <w:rFonts w:cs="Times New Roman"/>
        </w:rPr>
        <w:t>.</w:t>
      </w:r>
    </w:p>
    <w:p w14:paraId="3EC18FD4" w14:textId="638A5BC3" w:rsidR="007F671D" w:rsidRPr="00C640D6" w:rsidRDefault="00D92EA0" w:rsidP="00A0124A">
      <w:pPr>
        <w:ind w:firstLine="720"/>
        <w:rPr>
          <w:rFonts w:cs="Times New Roman"/>
        </w:rPr>
      </w:pPr>
      <w:r w:rsidRPr="00C640D6">
        <w:rPr>
          <w:rFonts w:cs="Times New Roman"/>
        </w:rPr>
        <w:t>Although previous studies of oxalate</w:t>
      </w:r>
      <w:r w:rsidR="00FF53A9" w:rsidRPr="00C640D6">
        <w:rPr>
          <w:rFonts w:cs="Times New Roman"/>
        </w:rPr>
        <w:t>s</w:t>
      </w:r>
      <w:r w:rsidRPr="00C640D6">
        <w:rPr>
          <w:rFonts w:cs="Times New Roman"/>
        </w:rPr>
        <w:t xml:space="preserve"> are</w:t>
      </w:r>
      <w:r w:rsidR="00FF53A9" w:rsidRPr="00C640D6">
        <w:rPr>
          <w:rFonts w:cs="Times New Roman"/>
        </w:rPr>
        <w:t xml:space="preserve"> somewhat limited, a</w:t>
      </w:r>
      <w:r w:rsidR="008A41A2" w:rsidRPr="00C640D6">
        <w:rPr>
          <w:rFonts w:cs="Times New Roman"/>
        </w:rPr>
        <w:t xml:space="preserve"> variety of studies have been performed </w:t>
      </w:r>
      <w:r w:rsidRPr="00C640D6">
        <w:rPr>
          <w:rFonts w:cs="Times New Roman"/>
        </w:rPr>
        <w:t>on similar substances</w:t>
      </w:r>
      <w:r w:rsidR="007F671D" w:rsidRPr="00C640D6">
        <w:rPr>
          <w:rFonts w:cs="Times New Roman"/>
        </w:rPr>
        <w:t xml:space="preserve">. </w:t>
      </w:r>
      <w:r w:rsidR="006D2A8F">
        <w:rPr>
          <w:rFonts w:cs="Times New Roman"/>
        </w:rPr>
        <w:t xml:space="preserve"> </w:t>
      </w:r>
      <w:r w:rsidR="008A41A2" w:rsidRPr="00C640D6">
        <w:rPr>
          <w:rFonts w:cs="Times New Roman"/>
        </w:rPr>
        <w:t xml:space="preserve">Typically, a </w:t>
      </w:r>
      <w:r w:rsidR="00726996" w:rsidRPr="00C640D6">
        <w:rPr>
          <w:rFonts w:cs="Times New Roman"/>
        </w:rPr>
        <w:t>serving of food high in the compound being studied</w:t>
      </w:r>
      <w:r w:rsidR="00FF53A9" w:rsidRPr="00C640D6">
        <w:rPr>
          <w:rFonts w:cs="Times New Roman"/>
        </w:rPr>
        <w:t xml:space="preserve"> is</w:t>
      </w:r>
      <w:r w:rsidR="008A41A2" w:rsidRPr="00C640D6">
        <w:rPr>
          <w:rFonts w:cs="Times New Roman"/>
        </w:rPr>
        <w:t xml:space="preserve"> administered</w:t>
      </w:r>
      <w:r w:rsidR="00FF53A9" w:rsidRPr="00C640D6">
        <w:rPr>
          <w:rFonts w:cs="Times New Roman"/>
        </w:rPr>
        <w:t xml:space="preserve">, after which </w:t>
      </w:r>
      <w:r w:rsidR="00941189">
        <w:rPr>
          <w:rFonts w:cs="Times New Roman"/>
        </w:rPr>
        <w:t>blood and/or</w:t>
      </w:r>
      <w:r w:rsidR="00726996" w:rsidRPr="00C640D6">
        <w:rPr>
          <w:rFonts w:cs="Times New Roman"/>
        </w:rPr>
        <w:t xml:space="preserve"> urine is examined.  </w:t>
      </w:r>
      <w:r w:rsidR="007F671D" w:rsidRPr="00C640D6">
        <w:rPr>
          <w:rFonts w:cs="Times New Roman"/>
        </w:rPr>
        <w:t>This study will follow a similar format</w:t>
      </w:r>
      <w:r w:rsidR="00BA150D" w:rsidRPr="00C640D6">
        <w:rPr>
          <w:rFonts w:cs="Times New Roman"/>
        </w:rPr>
        <w:t>.</w:t>
      </w:r>
    </w:p>
    <w:p w14:paraId="2CDC5F33" w14:textId="41FB167E" w:rsidR="00F23DD1" w:rsidRPr="00C640D6" w:rsidRDefault="00F23DD1" w:rsidP="00A0124A">
      <w:pPr>
        <w:ind w:firstLine="720"/>
        <w:rPr>
          <w:rFonts w:cs="Times New Roman"/>
        </w:rPr>
      </w:pPr>
      <w:r w:rsidRPr="00C640D6">
        <w:rPr>
          <w:rFonts w:cs="Times New Roman"/>
        </w:rPr>
        <w:t xml:space="preserve">Although the goal of this </w:t>
      </w:r>
      <w:r w:rsidR="00726996" w:rsidRPr="00C640D6">
        <w:rPr>
          <w:rFonts w:cs="Times New Roman"/>
        </w:rPr>
        <w:t>research</w:t>
      </w:r>
      <w:r w:rsidRPr="00C640D6">
        <w:rPr>
          <w:rFonts w:cs="Times New Roman"/>
        </w:rPr>
        <w:t xml:space="preserve"> is to help </w:t>
      </w:r>
      <w:r w:rsidR="00726996" w:rsidRPr="00C640D6">
        <w:rPr>
          <w:rFonts w:cs="Times New Roman"/>
        </w:rPr>
        <w:t>hemochromatosis patients</w:t>
      </w:r>
      <w:r w:rsidRPr="00C640D6">
        <w:rPr>
          <w:rFonts w:cs="Times New Roman"/>
        </w:rPr>
        <w:t xml:space="preserve">, the general effects of </w:t>
      </w:r>
      <w:r w:rsidR="00726996" w:rsidRPr="00C640D6">
        <w:rPr>
          <w:rFonts w:cs="Times New Roman"/>
        </w:rPr>
        <w:t>oxalates and oxalic acid on iron</w:t>
      </w:r>
      <w:r w:rsidRPr="00C640D6">
        <w:rPr>
          <w:rFonts w:cs="Times New Roman"/>
        </w:rPr>
        <w:t xml:space="preserve"> can be determined using </w:t>
      </w:r>
      <w:r w:rsidR="00726996" w:rsidRPr="00C640D6">
        <w:rPr>
          <w:rFonts w:cs="Times New Roman"/>
        </w:rPr>
        <w:t xml:space="preserve">a </w:t>
      </w:r>
      <w:r w:rsidRPr="00C640D6">
        <w:rPr>
          <w:rFonts w:cs="Times New Roman"/>
        </w:rPr>
        <w:t xml:space="preserve">population </w:t>
      </w:r>
      <w:r w:rsidR="00726996" w:rsidRPr="00C640D6">
        <w:rPr>
          <w:rFonts w:cs="Times New Roman"/>
        </w:rPr>
        <w:t>of non-</w:t>
      </w:r>
      <w:r w:rsidRPr="00C640D6">
        <w:rPr>
          <w:rFonts w:cs="Times New Roman"/>
        </w:rPr>
        <w:t>hemochromatosis</w:t>
      </w:r>
      <w:r w:rsidR="00726996" w:rsidRPr="00C640D6">
        <w:rPr>
          <w:rFonts w:cs="Times New Roman"/>
        </w:rPr>
        <w:t xml:space="preserve"> individuals</w:t>
      </w:r>
      <w:r w:rsidRPr="00C640D6">
        <w:rPr>
          <w:rFonts w:cs="Times New Roman"/>
        </w:rPr>
        <w:t>.  Therefore, participants without major dietary restrictions will be welcomed regardless of hemochromatosis diagnosis status.</w:t>
      </w:r>
      <w:r w:rsidR="007F671D" w:rsidRPr="00C640D6">
        <w:rPr>
          <w:rFonts w:cs="Times New Roman"/>
        </w:rPr>
        <w:t xml:space="preserve">  Pa</w:t>
      </w:r>
      <w:r w:rsidR="00345C9B" w:rsidRPr="00C640D6">
        <w:rPr>
          <w:rFonts w:cs="Times New Roman"/>
        </w:rPr>
        <w:t>rticipa</w:t>
      </w:r>
      <w:r w:rsidR="007F671D" w:rsidRPr="00C640D6">
        <w:rPr>
          <w:rFonts w:cs="Times New Roman"/>
        </w:rPr>
        <w:t xml:space="preserve">nts will be required to confirm that they have access to transportation to </w:t>
      </w:r>
      <w:r w:rsidR="006C78EC" w:rsidRPr="00C640D6">
        <w:rPr>
          <w:rFonts w:cs="Times New Roman"/>
        </w:rPr>
        <w:t xml:space="preserve">the </w:t>
      </w:r>
      <w:r w:rsidR="000A372B">
        <w:rPr>
          <w:rFonts w:cs="Times New Roman"/>
        </w:rPr>
        <w:t>lab</w:t>
      </w:r>
      <w:r w:rsidR="006C78EC" w:rsidRPr="00C640D6">
        <w:rPr>
          <w:rFonts w:cs="Times New Roman"/>
        </w:rPr>
        <w:t>-testing site</w:t>
      </w:r>
      <w:r w:rsidR="007F671D" w:rsidRPr="00C640D6">
        <w:rPr>
          <w:rFonts w:cs="Times New Roman"/>
        </w:rPr>
        <w:t xml:space="preserve">, </w:t>
      </w:r>
      <w:r w:rsidR="00345C9B" w:rsidRPr="00C640D6">
        <w:rPr>
          <w:rFonts w:cs="Times New Roman"/>
        </w:rPr>
        <w:t xml:space="preserve">and that they have access to the necessary materials for spinach preparation.  </w:t>
      </w:r>
      <w:r w:rsidR="00916435" w:rsidRPr="00C640D6">
        <w:rPr>
          <w:rFonts w:cs="Times New Roman"/>
        </w:rPr>
        <w:t xml:space="preserve">Additionally, patients will be asked to stop all alcohol consumption </w:t>
      </w:r>
      <w:r w:rsidR="006C78EC" w:rsidRPr="00C640D6">
        <w:rPr>
          <w:rFonts w:cs="Times New Roman"/>
        </w:rPr>
        <w:t xml:space="preserve">and any iron supplements </w:t>
      </w:r>
      <w:r w:rsidR="00916435" w:rsidRPr="00C640D6">
        <w:rPr>
          <w:rFonts w:cs="Times New Roman"/>
        </w:rPr>
        <w:t xml:space="preserve">for a period of one week </w:t>
      </w:r>
      <w:r w:rsidR="006C78EC" w:rsidRPr="00C640D6">
        <w:rPr>
          <w:rFonts w:cs="Times New Roman"/>
        </w:rPr>
        <w:t>prior to</w:t>
      </w:r>
      <w:r w:rsidR="00916435" w:rsidRPr="00C640D6">
        <w:rPr>
          <w:rFonts w:cs="Times New Roman"/>
        </w:rPr>
        <w:t xml:space="preserve"> the first </w:t>
      </w:r>
      <w:r w:rsidR="000A372B">
        <w:rPr>
          <w:rFonts w:cs="Times New Roman"/>
        </w:rPr>
        <w:t>labs</w:t>
      </w:r>
      <w:r w:rsidR="00916435" w:rsidRPr="00C640D6">
        <w:rPr>
          <w:rFonts w:cs="Times New Roman"/>
        </w:rPr>
        <w:t xml:space="preserve">, and for the entirety of the </w:t>
      </w:r>
      <w:r w:rsidR="006C78EC" w:rsidRPr="00C640D6">
        <w:rPr>
          <w:rFonts w:cs="Times New Roman"/>
        </w:rPr>
        <w:t>study</w:t>
      </w:r>
      <w:r w:rsidR="00916435" w:rsidRPr="00C640D6">
        <w:rPr>
          <w:rFonts w:cs="Times New Roman"/>
        </w:rPr>
        <w:t>.</w:t>
      </w:r>
    </w:p>
    <w:p w14:paraId="7ABE6C75" w14:textId="6223472E" w:rsidR="00431173" w:rsidRPr="00C640D6" w:rsidRDefault="007F671D" w:rsidP="00A0124A">
      <w:pPr>
        <w:ind w:firstLine="720"/>
        <w:rPr>
          <w:rFonts w:cs="Times New Roman"/>
        </w:rPr>
      </w:pPr>
      <w:r w:rsidRPr="00C640D6">
        <w:rPr>
          <w:rFonts w:cs="Times New Roman"/>
        </w:rPr>
        <w:t>Spinach preparation w</w:t>
      </w:r>
      <w:r w:rsidR="00345C9B" w:rsidRPr="00C640D6">
        <w:rPr>
          <w:rFonts w:cs="Times New Roman"/>
        </w:rPr>
        <w:t xml:space="preserve">ill occur in the participant’s home according to a detailed set of </w:t>
      </w:r>
      <w:r w:rsidR="005F76FC" w:rsidRPr="00C640D6">
        <w:rPr>
          <w:rFonts w:cs="Times New Roman"/>
        </w:rPr>
        <w:t>instructions</w:t>
      </w:r>
      <w:r w:rsidR="00345C9B" w:rsidRPr="00C640D6">
        <w:rPr>
          <w:rFonts w:cs="Times New Roman"/>
        </w:rPr>
        <w:t xml:space="preserve">.  These instructions will be based on </w:t>
      </w:r>
      <w:proofErr w:type="spellStart"/>
      <w:r w:rsidR="00345C9B" w:rsidRPr="00C640D6">
        <w:rPr>
          <w:rFonts w:cs="Times New Roman"/>
        </w:rPr>
        <w:t>Yadav</w:t>
      </w:r>
      <w:proofErr w:type="spellEnd"/>
      <w:r w:rsidR="00345C9B" w:rsidRPr="00C640D6">
        <w:rPr>
          <w:rFonts w:cs="Times New Roman"/>
        </w:rPr>
        <w:t xml:space="preserve"> and </w:t>
      </w:r>
      <w:proofErr w:type="spellStart"/>
      <w:r w:rsidR="00345C9B" w:rsidRPr="00C640D6">
        <w:rPr>
          <w:rFonts w:cs="Times New Roman"/>
        </w:rPr>
        <w:t>Sehgal’s</w:t>
      </w:r>
      <w:proofErr w:type="spellEnd"/>
      <w:r w:rsidR="00345C9B" w:rsidRPr="00C640D6">
        <w:rPr>
          <w:rFonts w:cs="Times New Roman"/>
        </w:rPr>
        <w:t xml:space="preserve"> 1995 study.</w:t>
      </w:r>
      <w:r w:rsidR="005F76FC" w:rsidRPr="00C640D6">
        <w:rPr>
          <w:rStyle w:val="FootnoteReference"/>
          <w:rFonts w:cs="Times New Roman"/>
        </w:rPr>
        <w:footnoteReference w:id="32"/>
      </w:r>
      <w:r w:rsidR="00345C9B" w:rsidRPr="00C640D6">
        <w:rPr>
          <w:rFonts w:cs="Times New Roman"/>
        </w:rPr>
        <w:t xml:space="preserve">  Although </w:t>
      </w:r>
      <w:proofErr w:type="spellStart"/>
      <w:r w:rsidR="00345C9B" w:rsidRPr="00C640D6">
        <w:rPr>
          <w:rFonts w:cs="Times New Roman"/>
          <w:i/>
        </w:rPr>
        <w:t>Yadav</w:t>
      </w:r>
      <w:proofErr w:type="spellEnd"/>
      <w:r w:rsidR="00345C9B" w:rsidRPr="00C640D6">
        <w:rPr>
          <w:rFonts w:cs="Times New Roman"/>
          <w:i/>
        </w:rPr>
        <w:t xml:space="preserve"> and </w:t>
      </w:r>
      <w:proofErr w:type="spellStart"/>
      <w:r w:rsidR="00345C9B" w:rsidRPr="00C640D6">
        <w:rPr>
          <w:rFonts w:cs="Times New Roman"/>
          <w:i/>
        </w:rPr>
        <w:t>Sehgal</w:t>
      </w:r>
      <w:proofErr w:type="spellEnd"/>
      <w:r w:rsidR="00345C9B" w:rsidRPr="00C640D6">
        <w:rPr>
          <w:rFonts w:cs="Times New Roman"/>
          <w:i/>
        </w:rPr>
        <w:t xml:space="preserve"> </w:t>
      </w:r>
      <w:r w:rsidR="00EC37B1" w:rsidRPr="00C640D6">
        <w:rPr>
          <w:rFonts w:cs="Times New Roman"/>
          <w:i/>
        </w:rPr>
        <w:t>1995</w:t>
      </w:r>
      <w:r w:rsidR="00EC37B1" w:rsidRPr="00C640D6">
        <w:rPr>
          <w:rFonts w:cs="Times New Roman"/>
        </w:rPr>
        <w:t xml:space="preserve"> </w:t>
      </w:r>
      <w:r w:rsidR="00345C9B" w:rsidRPr="00C640D6">
        <w:rPr>
          <w:rFonts w:cs="Times New Roman"/>
        </w:rPr>
        <w:t>t</w:t>
      </w:r>
      <w:r w:rsidR="00EC37B1" w:rsidRPr="00C640D6">
        <w:rPr>
          <w:rFonts w:cs="Times New Roman"/>
        </w:rPr>
        <w:t>racked</w:t>
      </w:r>
      <w:r w:rsidR="00345C9B" w:rsidRPr="00C640D6">
        <w:rPr>
          <w:rFonts w:cs="Times New Roman"/>
        </w:rPr>
        <w:t xml:space="preserve"> a wide variety of factors, this study will be limited to just one: blanching time.</w:t>
      </w:r>
      <w:r w:rsidR="005F76FC" w:rsidRPr="00C640D6">
        <w:rPr>
          <w:rFonts w:cs="Times New Roman"/>
        </w:rPr>
        <w:t xml:space="preserve">  Blanching </w:t>
      </w:r>
      <w:r w:rsidR="00EC37B1" w:rsidRPr="00C640D6">
        <w:rPr>
          <w:rFonts w:cs="Times New Roman"/>
        </w:rPr>
        <w:t>involves boiling</w:t>
      </w:r>
      <w:r w:rsidR="00A53569" w:rsidRPr="00C640D6">
        <w:rPr>
          <w:rFonts w:cs="Times New Roman"/>
        </w:rPr>
        <w:t xml:space="preserve"> </w:t>
      </w:r>
      <w:r w:rsidR="00EC37B1" w:rsidRPr="00C640D6">
        <w:rPr>
          <w:rFonts w:cs="Times New Roman"/>
        </w:rPr>
        <w:t>something</w:t>
      </w:r>
      <w:r w:rsidR="00A53569" w:rsidRPr="00C640D6">
        <w:rPr>
          <w:rFonts w:cs="Times New Roman"/>
        </w:rPr>
        <w:t xml:space="preserve"> for a </w:t>
      </w:r>
      <w:r w:rsidR="00EC37B1" w:rsidRPr="00C640D6">
        <w:rPr>
          <w:rFonts w:cs="Times New Roman"/>
        </w:rPr>
        <w:t xml:space="preserve">set amount of time, followed by </w:t>
      </w:r>
      <w:r w:rsidR="00A53569" w:rsidRPr="00C640D6">
        <w:rPr>
          <w:rFonts w:cs="Times New Roman"/>
        </w:rPr>
        <w:t>rapid</w:t>
      </w:r>
      <w:r w:rsidR="00EC37B1" w:rsidRPr="00C640D6">
        <w:rPr>
          <w:rFonts w:cs="Times New Roman"/>
        </w:rPr>
        <w:t>ly</w:t>
      </w:r>
      <w:r w:rsidR="00A53569" w:rsidRPr="00C640D6">
        <w:rPr>
          <w:rFonts w:cs="Times New Roman"/>
        </w:rPr>
        <w:t xml:space="preserve"> cooling</w:t>
      </w:r>
      <w:r w:rsidR="00EC37B1" w:rsidRPr="00C640D6">
        <w:rPr>
          <w:rFonts w:cs="Times New Roman"/>
        </w:rPr>
        <w:t xml:space="preserve"> it</w:t>
      </w:r>
      <w:r w:rsidR="00A53569" w:rsidRPr="00C640D6">
        <w:rPr>
          <w:rFonts w:cs="Times New Roman"/>
        </w:rPr>
        <w:t xml:space="preserve"> to prevent </w:t>
      </w:r>
      <w:r w:rsidR="00EC37B1" w:rsidRPr="00C640D6">
        <w:rPr>
          <w:rFonts w:cs="Times New Roman"/>
        </w:rPr>
        <w:t>further</w:t>
      </w:r>
      <w:r w:rsidR="00A53569" w:rsidRPr="00C640D6">
        <w:rPr>
          <w:rFonts w:cs="Times New Roman"/>
        </w:rPr>
        <w:t xml:space="preserve"> cooking. </w:t>
      </w:r>
      <w:r w:rsidR="00BA150D" w:rsidRPr="00C640D6">
        <w:rPr>
          <w:rFonts w:cs="Times New Roman"/>
        </w:rPr>
        <w:t xml:space="preserve"> </w:t>
      </w:r>
      <w:r w:rsidR="00345C9B" w:rsidRPr="00C640D6">
        <w:rPr>
          <w:rFonts w:cs="Times New Roman"/>
        </w:rPr>
        <w:t>Participants will be assig</w:t>
      </w:r>
      <w:r w:rsidR="00A53569" w:rsidRPr="00C640D6">
        <w:rPr>
          <w:rFonts w:cs="Times New Roman"/>
        </w:rPr>
        <w:t xml:space="preserve">ned a blanching time (0, 5, 10 </w:t>
      </w:r>
      <w:r w:rsidR="00345C9B" w:rsidRPr="00C640D6">
        <w:rPr>
          <w:rFonts w:cs="Times New Roman"/>
        </w:rPr>
        <w:t xml:space="preserve">min). </w:t>
      </w:r>
      <w:r w:rsidR="00A53569" w:rsidRPr="00C640D6">
        <w:rPr>
          <w:rFonts w:cs="Times New Roman"/>
        </w:rPr>
        <w:t xml:space="preserve"> T</w:t>
      </w:r>
      <w:r w:rsidR="00345C9B" w:rsidRPr="00C640D6">
        <w:rPr>
          <w:rFonts w:cs="Times New Roman"/>
        </w:rPr>
        <w:t>he amount</w:t>
      </w:r>
      <w:r w:rsidR="00A53569" w:rsidRPr="00C640D6">
        <w:rPr>
          <w:rFonts w:cs="Times New Roman"/>
        </w:rPr>
        <w:t xml:space="preserve"> and variety </w:t>
      </w:r>
      <w:r w:rsidR="00EC37B1" w:rsidRPr="00C640D6">
        <w:rPr>
          <w:rFonts w:cs="Times New Roman"/>
        </w:rPr>
        <w:t>of</w:t>
      </w:r>
      <w:r w:rsidR="00345C9B" w:rsidRPr="00C640D6">
        <w:rPr>
          <w:rFonts w:cs="Times New Roman"/>
        </w:rPr>
        <w:t xml:space="preserve"> spinach </w:t>
      </w:r>
      <w:r w:rsidR="00A53569" w:rsidRPr="00C640D6">
        <w:rPr>
          <w:rFonts w:cs="Times New Roman"/>
        </w:rPr>
        <w:t>will be controlled for.</w:t>
      </w:r>
      <w:r w:rsidR="00345C9B" w:rsidRPr="00C640D6">
        <w:rPr>
          <w:rFonts w:cs="Times New Roman"/>
        </w:rPr>
        <w:t xml:space="preserve">  </w:t>
      </w:r>
      <w:r w:rsidR="00BA150D" w:rsidRPr="00C640D6">
        <w:rPr>
          <w:rFonts w:cs="Times New Roman"/>
        </w:rPr>
        <w:t>Participants will be asked t</w:t>
      </w:r>
      <w:r w:rsidR="00A53569" w:rsidRPr="00C640D6">
        <w:rPr>
          <w:rFonts w:cs="Times New Roman"/>
        </w:rPr>
        <w:t>o consume one-hundred grams of spinach, or one serving,</w:t>
      </w:r>
      <w:r w:rsidR="00BA150D" w:rsidRPr="00C640D6">
        <w:rPr>
          <w:rFonts w:cs="Times New Roman"/>
        </w:rPr>
        <w:t xml:space="preserve"> once a day between the </w:t>
      </w:r>
      <w:r w:rsidR="00A53569" w:rsidRPr="00C640D6">
        <w:rPr>
          <w:rFonts w:cs="Times New Roman"/>
        </w:rPr>
        <w:t>hours of four and seven</w:t>
      </w:r>
      <w:r w:rsidR="00BA150D" w:rsidRPr="00C640D6">
        <w:rPr>
          <w:rFonts w:cs="Times New Roman"/>
        </w:rPr>
        <w:t xml:space="preserve"> in the afternoon</w:t>
      </w:r>
      <w:r w:rsidR="00A53569" w:rsidRPr="00C640D6">
        <w:rPr>
          <w:rFonts w:cs="Times New Roman"/>
        </w:rPr>
        <w:t>, for seven days</w:t>
      </w:r>
      <w:r w:rsidR="00BA150D" w:rsidRPr="00C640D6">
        <w:rPr>
          <w:rFonts w:cs="Times New Roman"/>
        </w:rPr>
        <w:t>.</w:t>
      </w:r>
      <w:r w:rsidR="00A53569" w:rsidRPr="00C640D6">
        <w:rPr>
          <w:rStyle w:val="FootnoteReference"/>
          <w:rFonts w:cs="Times New Roman"/>
        </w:rPr>
        <w:footnoteReference w:id="33"/>
      </w:r>
    </w:p>
    <w:p w14:paraId="5E838064" w14:textId="7DFF91A6" w:rsidR="00916435" w:rsidRPr="00C640D6" w:rsidRDefault="000A372B" w:rsidP="00A0124A">
      <w:pPr>
        <w:ind w:firstLine="720"/>
        <w:rPr>
          <w:rFonts w:cs="Times New Roman"/>
        </w:rPr>
      </w:pPr>
      <w:r>
        <w:rPr>
          <w:rFonts w:cs="Times New Roman"/>
        </w:rPr>
        <w:t>I</w:t>
      </w:r>
      <w:r w:rsidR="00BA150D" w:rsidRPr="00C640D6">
        <w:rPr>
          <w:rFonts w:cs="Times New Roman"/>
        </w:rPr>
        <w:t>ron and</w:t>
      </w:r>
      <w:r w:rsidR="00431173" w:rsidRPr="00C640D6">
        <w:rPr>
          <w:rFonts w:cs="Times New Roman"/>
        </w:rPr>
        <w:t xml:space="preserve"> oxalate</w:t>
      </w:r>
      <w:r w:rsidR="00A53569" w:rsidRPr="00C640D6">
        <w:rPr>
          <w:rFonts w:cs="Times New Roman"/>
        </w:rPr>
        <w:t xml:space="preserve"> levels</w:t>
      </w:r>
      <w:r w:rsidR="00431173" w:rsidRPr="00C640D6">
        <w:rPr>
          <w:rFonts w:cs="Times New Roman"/>
        </w:rPr>
        <w:t xml:space="preserve"> will be </w:t>
      </w:r>
      <w:r>
        <w:rPr>
          <w:rFonts w:cs="Times New Roman"/>
        </w:rPr>
        <w:t>measured via blood and urine analysis, respectively</w:t>
      </w:r>
      <w:r w:rsidR="00BA150D" w:rsidRPr="00C640D6">
        <w:rPr>
          <w:rFonts w:cs="Times New Roman"/>
        </w:rPr>
        <w:t>.  Blood will be collected in iron-free vessels before and after the weeklong oxalate-loading period.</w:t>
      </w:r>
      <w:r w:rsidR="00A53569" w:rsidRPr="00C640D6">
        <w:rPr>
          <w:rStyle w:val="FootnoteReference"/>
          <w:rFonts w:cs="Times New Roman"/>
        </w:rPr>
        <w:footnoteReference w:id="34"/>
      </w:r>
      <w:r w:rsidR="00BA150D" w:rsidRPr="00C640D6">
        <w:rPr>
          <w:rFonts w:cs="Times New Roman"/>
        </w:rPr>
        <w:t xml:space="preserve">  </w:t>
      </w:r>
      <w:r>
        <w:rPr>
          <w:rFonts w:cs="Times New Roman"/>
        </w:rPr>
        <w:t xml:space="preserve">Urine will be collected over a twenty-four hour period before the trial begins, and on the last day of the trial.  </w:t>
      </w:r>
      <w:r w:rsidR="00A53569" w:rsidRPr="00C640D6">
        <w:rPr>
          <w:rFonts w:cs="Times New Roman"/>
        </w:rPr>
        <w:t>The t</w:t>
      </w:r>
      <w:r w:rsidR="00B04D3C" w:rsidRPr="00C640D6">
        <w:rPr>
          <w:rFonts w:cs="Times New Roman"/>
        </w:rPr>
        <w:t xml:space="preserve">wo tests </w:t>
      </w:r>
      <w:r w:rsidR="00A53569" w:rsidRPr="00C640D6">
        <w:rPr>
          <w:rFonts w:cs="Times New Roman"/>
        </w:rPr>
        <w:t xml:space="preserve">that </w:t>
      </w:r>
      <w:r w:rsidR="00B04D3C" w:rsidRPr="00C640D6">
        <w:rPr>
          <w:rFonts w:cs="Times New Roman"/>
        </w:rPr>
        <w:t>will be run</w:t>
      </w:r>
      <w:r>
        <w:rPr>
          <w:rFonts w:cs="Times New Roman"/>
        </w:rPr>
        <w:t xml:space="preserve"> in lab</w:t>
      </w:r>
      <w:r w:rsidR="00A53569" w:rsidRPr="00C640D6">
        <w:rPr>
          <w:rFonts w:cs="Times New Roman"/>
        </w:rPr>
        <w:t xml:space="preserve"> </w:t>
      </w:r>
      <w:r>
        <w:rPr>
          <w:rFonts w:cs="Times New Roman"/>
        </w:rPr>
        <w:t>are</w:t>
      </w:r>
      <w:r w:rsidR="00EC37B1" w:rsidRPr="00C640D6">
        <w:rPr>
          <w:rFonts w:cs="Times New Roman"/>
        </w:rPr>
        <w:t xml:space="preserve"> </w:t>
      </w:r>
      <w:r w:rsidR="00B04D3C" w:rsidRPr="00C640D6">
        <w:rPr>
          <w:rFonts w:cs="Times New Roman"/>
        </w:rPr>
        <w:t xml:space="preserve">serum iron </w:t>
      </w:r>
      <w:r w:rsidR="00EC37B1" w:rsidRPr="00C640D6">
        <w:rPr>
          <w:rFonts w:cs="Times New Roman"/>
        </w:rPr>
        <w:t>and oxalate</w:t>
      </w:r>
      <w:r>
        <w:rPr>
          <w:rFonts w:cs="Times New Roman"/>
        </w:rPr>
        <w:t xml:space="preserve"> urine</w:t>
      </w:r>
      <w:r w:rsidR="00B04D3C" w:rsidRPr="00C640D6">
        <w:rPr>
          <w:rFonts w:cs="Times New Roman"/>
        </w:rPr>
        <w:t>.</w:t>
      </w:r>
      <w:r w:rsidR="00F851FD" w:rsidRPr="00C640D6">
        <w:rPr>
          <w:rStyle w:val="FootnoteReference"/>
          <w:rFonts w:cs="Times New Roman"/>
        </w:rPr>
        <w:footnoteReference w:id="35"/>
      </w:r>
      <w:r w:rsidR="00BA150D" w:rsidRPr="00C640D6">
        <w:rPr>
          <w:rFonts w:cs="Times New Roman"/>
        </w:rPr>
        <w:t xml:space="preserve">   </w:t>
      </w:r>
    </w:p>
    <w:p w14:paraId="3D42C207" w14:textId="52867DB6" w:rsidR="00A0124A" w:rsidRPr="00C640D6" w:rsidRDefault="00916435" w:rsidP="00D33E95">
      <w:pPr>
        <w:ind w:firstLine="720"/>
        <w:rPr>
          <w:rFonts w:cs="Times New Roman"/>
        </w:rPr>
      </w:pPr>
      <w:r w:rsidRPr="00C640D6">
        <w:rPr>
          <w:rFonts w:cs="Times New Roman"/>
        </w:rPr>
        <w:t>T</w:t>
      </w:r>
      <w:r w:rsidR="00EC37B1" w:rsidRPr="00C640D6">
        <w:rPr>
          <w:rFonts w:cs="Times New Roman"/>
        </w:rPr>
        <w:t xml:space="preserve">his </w:t>
      </w:r>
      <w:r w:rsidRPr="00C640D6">
        <w:rPr>
          <w:rFonts w:cs="Times New Roman"/>
        </w:rPr>
        <w:t xml:space="preserve">study will </w:t>
      </w:r>
      <w:r w:rsidR="00A0124A" w:rsidRPr="00C640D6">
        <w:rPr>
          <w:rFonts w:cs="Times New Roman"/>
        </w:rPr>
        <w:t>have</w:t>
      </w:r>
      <w:r w:rsidRPr="00C640D6">
        <w:rPr>
          <w:rFonts w:cs="Times New Roman"/>
        </w:rPr>
        <w:t xml:space="preserve"> significan</w:t>
      </w:r>
      <w:r w:rsidR="00A0124A" w:rsidRPr="00C640D6">
        <w:rPr>
          <w:rFonts w:cs="Times New Roman"/>
        </w:rPr>
        <w:t xml:space="preserve">t implications regardless of </w:t>
      </w:r>
      <w:r w:rsidR="00EC37B1" w:rsidRPr="00C640D6">
        <w:rPr>
          <w:rFonts w:cs="Times New Roman"/>
        </w:rPr>
        <w:t>the precise results</w:t>
      </w:r>
      <w:r w:rsidRPr="00C640D6">
        <w:rPr>
          <w:rFonts w:cs="Times New Roman"/>
        </w:rPr>
        <w:t xml:space="preserve">. </w:t>
      </w:r>
      <w:r w:rsidR="00EC37B1" w:rsidRPr="00C640D6">
        <w:rPr>
          <w:rFonts w:cs="Times New Roman"/>
        </w:rPr>
        <w:t xml:space="preserve"> I</w:t>
      </w:r>
      <w:r w:rsidRPr="00C640D6">
        <w:rPr>
          <w:rFonts w:cs="Times New Roman"/>
        </w:rPr>
        <w:t xml:space="preserve">f iron levels decrease after </w:t>
      </w:r>
      <w:r w:rsidR="00A0124A" w:rsidRPr="00C640D6">
        <w:rPr>
          <w:rFonts w:cs="Times New Roman"/>
        </w:rPr>
        <w:t>a</w:t>
      </w:r>
      <w:r w:rsidRPr="00C640D6">
        <w:rPr>
          <w:rFonts w:cs="Times New Roman"/>
        </w:rPr>
        <w:t xml:space="preserve"> week of oxalate loading, it suggests that the </w:t>
      </w:r>
      <w:r w:rsidR="00A0124A" w:rsidRPr="00C640D6">
        <w:rPr>
          <w:rFonts w:cs="Times New Roman"/>
        </w:rPr>
        <w:t xml:space="preserve">blanching </w:t>
      </w:r>
      <w:r w:rsidRPr="00C640D6">
        <w:rPr>
          <w:rFonts w:cs="Times New Roman"/>
        </w:rPr>
        <w:t xml:space="preserve">method used was effective at </w:t>
      </w:r>
      <w:r w:rsidR="00A0124A" w:rsidRPr="00C640D6">
        <w:rPr>
          <w:rFonts w:cs="Times New Roman"/>
        </w:rPr>
        <w:t>freeing iron chelators to bind iron from the spinach</w:t>
      </w:r>
      <w:r w:rsidRPr="00C640D6">
        <w:rPr>
          <w:rFonts w:cs="Times New Roman"/>
        </w:rPr>
        <w:t xml:space="preserve">. </w:t>
      </w:r>
      <w:r w:rsidR="00A0124A" w:rsidRPr="00C640D6">
        <w:rPr>
          <w:rFonts w:cs="Times New Roman"/>
        </w:rPr>
        <w:t xml:space="preserve"> In contrast, </w:t>
      </w:r>
      <w:r w:rsidRPr="00C640D6">
        <w:rPr>
          <w:rFonts w:cs="Times New Roman"/>
        </w:rPr>
        <w:t>if iron levels increase over the course of the study</w:t>
      </w:r>
      <w:r w:rsidR="00A0124A" w:rsidRPr="00C640D6">
        <w:rPr>
          <w:rFonts w:cs="Times New Roman"/>
        </w:rPr>
        <w:t xml:space="preserve"> for any particular blanching time</w:t>
      </w:r>
      <w:r w:rsidRPr="00C640D6">
        <w:rPr>
          <w:rFonts w:cs="Times New Roman"/>
        </w:rPr>
        <w:t xml:space="preserve">, it suggests that </w:t>
      </w:r>
      <w:r w:rsidR="00A0124A" w:rsidRPr="00C640D6">
        <w:rPr>
          <w:rFonts w:cs="Times New Roman"/>
        </w:rPr>
        <w:t>the oxalates have been transformed or incapacitated by the heating mechanism</w:t>
      </w:r>
      <w:r w:rsidRPr="00C640D6">
        <w:rPr>
          <w:rFonts w:cs="Times New Roman"/>
        </w:rPr>
        <w:t xml:space="preserve">.  </w:t>
      </w:r>
    </w:p>
    <w:p w14:paraId="194AB648" w14:textId="3E472669" w:rsidR="006A002F" w:rsidRPr="00C640D6" w:rsidRDefault="00A0124A" w:rsidP="00A0124A">
      <w:pPr>
        <w:ind w:firstLine="720"/>
        <w:rPr>
          <w:rFonts w:cs="Times New Roman"/>
        </w:rPr>
      </w:pPr>
      <w:r w:rsidRPr="00C640D6">
        <w:rPr>
          <w:rFonts w:cs="Times New Roman"/>
        </w:rPr>
        <w:t xml:space="preserve">The broader medical implication of this research applies specifically </w:t>
      </w:r>
      <w:r w:rsidR="009144F4" w:rsidRPr="00C640D6">
        <w:rPr>
          <w:rFonts w:cs="Times New Roman"/>
        </w:rPr>
        <w:t>to individuals</w:t>
      </w:r>
      <w:r w:rsidRPr="00C640D6">
        <w:rPr>
          <w:rFonts w:cs="Times New Roman"/>
        </w:rPr>
        <w:t xml:space="preserve"> at risk of iron overload, i.e. hemochromatosis patients.  </w:t>
      </w:r>
      <w:r w:rsidR="00916435" w:rsidRPr="00C640D6">
        <w:rPr>
          <w:rFonts w:cs="Times New Roman"/>
        </w:rPr>
        <w:t>If spinach</w:t>
      </w:r>
      <w:r w:rsidRPr="00C640D6">
        <w:rPr>
          <w:rFonts w:cs="Times New Roman"/>
        </w:rPr>
        <w:t xml:space="preserve"> proves to contain an</w:t>
      </w:r>
      <w:r w:rsidR="006A002F" w:rsidRPr="00C640D6">
        <w:rPr>
          <w:rFonts w:cs="Times New Roman"/>
        </w:rPr>
        <w:t xml:space="preserve"> iron chelator, it should be recommended to patients as a new, supplemental method of managing hemochromatosis.  If spinach increases iron levels, patients should be instructed to avoid it, as they would other high iron foods.  </w:t>
      </w:r>
      <w:r w:rsidR="00D33E95" w:rsidRPr="00C640D6">
        <w:rPr>
          <w:rFonts w:cs="Times New Roman"/>
        </w:rPr>
        <w:t xml:space="preserve">Based off the previous study by Dagostin 2017, it seems likely that increased blanching time will result in lower oxalate concentration, which will in turn result in higher iron levels.  If this is true, and this study reflects only an increase in iron levels for cooked spinach, then patients should specifically be warned of the dangers of eating cooked </w:t>
      </w:r>
      <w:r w:rsidR="009144F4" w:rsidRPr="00C640D6">
        <w:rPr>
          <w:rFonts w:cs="Times New Roman"/>
        </w:rPr>
        <w:t xml:space="preserve">spinach and other </w:t>
      </w:r>
      <w:r w:rsidR="00D33E95" w:rsidRPr="00C640D6">
        <w:rPr>
          <w:rFonts w:cs="Times New Roman"/>
        </w:rPr>
        <w:t xml:space="preserve">foods high in oxalates.  </w:t>
      </w:r>
    </w:p>
    <w:p w14:paraId="070D92B4" w14:textId="5B8D5454" w:rsidR="006A002F" w:rsidRPr="00C640D6" w:rsidRDefault="006A002F">
      <w:pPr>
        <w:rPr>
          <w:rFonts w:cs="Times New Roman"/>
        </w:rPr>
      </w:pPr>
    </w:p>
    <w:p w14:paraId="27162E2E" w14:textId="721DD643" w:rsidR="00832470" w:rsidRPr="00C640D6" w:rsidRDefault="00C526AB" w:rsidP="00832470">
      <w:pPr>
        <w:ind w:firstLine="360"/>
        <w:jc w:val="center"/>
        <w:rPr>
          <w:rFonts w:cs="Times New Roman"/>
        </w:rPr>
      </w:pPr>
      <w:r w:rsidRPr="00C640D6">
        <w:rPr>
          <w:rFonts w:cs="Times New Roman"/>
        </w:rPr>
        <w:t>References:</w:t>
      </w:r>
    </w:p>
    <w:p w14:paraId="18F66D49" w14:textId="77777777" w:rsidR="00832470" w:rsidRPr="00C640D6" w:rsidRDefault="00832470" w:rsidP="00B21FA5">
      <w:pPr>
        <w:rPr>
          <w:rFonts w:eastAsia="Times New Roman" w:cs="Times New Roman"/>
          <w:color w:val="333333"/>
          <w:shd w:val="clear" w:color="auto" w:fill="FFFFFF"/>
        </w:rPr>
      </w:pPr>
    </w:p>
    <w:p w14:paraId="7F3A9094" w14:textId="77777777" w:rsidR="00B21FA5" w:rsidRPr="00C640D6" w:rsidRDefault="00B21FA5" w:rsidP="00B21FA5">
      <w:pPr>
        <w:rPr>
          <w:rFonts w:eastAsia="Times New Roman" w:cs="Times New Roman"/>
          <w:i/>
          <w:iCs/>
          <w:color w:val="333333"/>
        </w:rPr>
      </w:pPr>
      <w:proofErr w:type="gramStart"/>
      <w:r w:rsidRPr="00C640D6">
        <w:rPr>
          <w:rFonts w:eastAsia="Times New Roman" w:cs="Times New Roman"/>
          <w:color w:val="333333"/>
          <w:shd w:val="clear" w:color="auto" w:fill="FFFFFF"/>
        </w:rPr>
        <w:t>Adams, P. C., &amp; Barton, J. C. (2010).</w:t>
      </w:r>
      <w:proofErr w:type="gramEnd"/>
      <w:r w:rsidRPr="00C640D6">
        <w:rPr>
          <w:rFonts w:eastAsia="Times New Roman" w:cs="Times New Roman"/>
          <w:color w:val="333333"/>
          <w:shd w:val="clear" w:color="auto" w:fill="FFFFFF"/>
        </w:rPr>
        <w:t xml:space="preserve"> How I treat hemochromatosis. </w:t>
      </w:r>
      <w:r w:rsidRPr="00C640D6">
        <w:rPr>
          <w:rFonts w:eastAsia="Times New Roman" w:cs="Times New Roman"/>
          <w:i/>
          <w:iCs/>
          <w:color w:val="333333"/>
        </w:rPr>
        <w:t xml:space="preserve">American Society of </w:t>
      </w:r>
    </w:p>
    <w:p w14:paraId="1BBEAB82" w14:textId="04C97A3A" w:rsidR="00B21FA5" w:rsidRPr="00C640D6" w:rsidRDefault="00B21FA5" w:rsidP="00B21FA5">
      <w:pPr>
        <w:ind w:firstLine="720"/>
        <w:rPr>
          <w:rFonts w:eastAsia="Times New Roman" w:cs="Times New Roman"/>
        </w:rPr>
      </w:pPr>
      <w:r w:rsidRPr="00C640D6">
        <w:rPr>
          <w:rFonts w:eastAsia="Times New Roman" w:cs="Times New Roman"/>
          <w:i/>
          <w:iCs/>
          <w:color w:val="333333"/>
        </w:rPr>
        <w:t>Hematology</w:t>
      </w:r>
      <w:r w:rsidRPr="00C640D6">
        <w:rPr>
          <w:rFonts w:eastAsia="Times New Roman" w:cs="Times New Roman"/>
          <w:color w:val="333333"/>
          <w:shd w:val="clear" w:color="auto" w:fill="FFFFFF"/>
        </w:rPr>
        <w:t>.</w:t>
      </w:r>
    </w:p>
    <w:p w14:paraId="4062AB4F" w14:textId="77777777" w:rsidR="00B21FA5" w:rsidRPr="00C640D6" w:rsidRDefault="00B21FA5" w:rsidP="00B21FA5">
      <w:pPr>
        <w:rPr>
          <w:rFonts w:eastAsia="Times New Roman" w:cs="Times New Roman"/>
          <w:color w:val="333333"/>
          <w:shd w:val="clear" w:color="auto" w:fill="FFFFFF"/>
        </w:rPr>
      </w:pPr>
      <w:proofErr w:type="gramStart"/>
      <w:r w:rsidRPr="00C640D6">
        <w:rPr>
          <w:rFonts w:eastAsia="Times New Roman" w:cs="Times New Roman"/>
          <w:color w:val="333333"/>
          <w:shd w:val="clear" w:color="auto" w:fill="FFFFFF"/>
        </w:rPr>
        <w:t xml:space="preserve">Aranda, N., </w:t>
      </w:r>
      <w:proofErr w:type="spellStart"/>
      <w:r w:rsidRPr="00C640D6">
        <w:rPr>
          <w:rFonts w:eastAsia="Times New Roman" w:cs="Times New Roman"/>
          <w:color w:val="333333"/>
          <w:shd w:val="clear" w:color="auto" w:fill="FFFFFF"/>
        </w:rPr>
        <w:t>Viteri</w:t>
      </w:r>
      <w:proofErr w:type="spellEnd"/>
      <w:r w:rsidRPr="00C640D6">
        <w:rPr>
          <w:rFonts w:eastAsia="Times New Roman" w:cs="Times New Roman"/>
          <w:color w:val="333333"/>
          <w:shd w:val="clear" w:color="auto" w:fill="FFFFFF"/>
        </w:rPr>
        <w:t xml:space="preserve">, F. E., Montserrat, C., &amp; </w:t>
      </w:r>
      <w:proofErr w:type="spellStart"/>
      <w:r w:rsidRPr="00C640D6">
        <w:rPr>
          <w:rFonts w:eastAsia="Times New Roman" w:cs="Times New Roman"/>
          <w:color w:val="333333"/>
          <w:shd w:val="clear" w:color="auto" w:fill="FFFFFF"/>
        </w:rPr>
        <w:t>Arija</w:t>
      </w:r>
      <w:proofErr w:type="spellEnd"/>
      <w:r w:rsidRPr="00C640D6">
        <w:rPr>
          <w:rFonts w:eastAsia="Times New Roman" w:cs="Times New Roman"/>
          <w:color w:val="333333"/>
          <w:shd w:val="clear" w:color="auto" w:fill="FFFFFF"/>
        </w:rPr>
        <w:t>, V. (2010).</w:t>
      </w:r>
      <w:proofErr w:type="gramEnd"/>
      <w:r w:rsidRPr="00C640D6">
        <w:rPr>
          <w:rFonts w:eastAsia="Times New Roman" w:cs="Times New Roman"/>
          <w:color w:val="333333"/>
          <w:shd w:val="clear" w:color="auto" w:fill="FFFFFF"/>
        </w:rPr>
        <w:t xml:space="preserve"> Effects of C282Y, H63D, and S65C </w:t>
      </w:r>
    </w:p>
    <w:p w14:paraId="154D3133" w14:textId="77777777" w:rsidR="00B21FA5" w:rsidRPr="00C640D6" w:rsidRDefault="00B21FA5" w:rsidP="00B21FA5">
      <w:pPr>
        <w:ind w:firstLine="720"/>
        <w:rPr>
          <w:rFonts w:eastAsia="Times New Roman" w:cs="Times New Roman"/>
          <w:color w:val="333333"/>
          <w:shd w:val="clear" w:color="auto" w:fill="FFFFFF"/>
        </w:rPr>
      </w:pPr>
      <w:r w:rsidRPr="00C640D6">
        <w:rPr>
          <w:rFonts w:eastAsia="Times New Roman" w:cs="Times New Roman"/>
          <w:color w:val="333333"/>
          <w:shd w:val="clear" w:color="auto" w:fill="FFFFFF"/>
        </w:rPr>
        <w:t xml:space="preserve">HFE gene mutations, diet, and life-style factors on iron status in a general Mediterranean </w:t>
      </w:r>
    </w:p>
    <w:p w14:paraId="75F76765" w14:textId="3D9F79A5" w:rsidR="00B21FA5" w:rsidRPr="00C640D6" w:rsidRDefault="00B21FA5" w:rsidP="00B21FA5">
      <w:pPr>
        <w:ind w:left="720"/>
        <w:rPr>
          <w:rFonts w:eastAsia="Times New Roman" w:cs="Times New Roman"/>
        </w:rPr>
      </w:pPr>
      <w:proofErr w:type="gramStart"/>
      <w:r w:rsidRPr="00C640D6">
        <w:rPr>
          <w:rFonts w:eastAsia="Times New Roman" w:cs="Times New Roman"/>
          <w:color w:val="333333"/>
          <w:shd w:val="clear" w:color="auto" w:fill="FFFFFF"/>
        </w:rPr>
        <w:t>population</w:t>
      </w:r>
      <w:proofErr w:type="gramEnd"/>
      <w:r w:rsidRPr="00C640D6">
        <w:rPr>
          <w:rFonts w:eastAsia="Times New Roman" w:cs="Times New Roman"/>
          <w:color w:val="333333"/>
          <w:shd w:val="clear" w:color="auto" w:fill="FFFFFF"/>
        </w:rPr>
        <w:t xml:space="preserve"> from Tarragona, Spain. </w:t>
      </w:r>
      <w:r w:rsidRPr="00C640D6">
        <w:rPr>
          <w:rFonts w:eastAsia="Times New Roman" w:cs="Times New Roman"/>
          <w:i/>
          <w:iCs/>
          <w:color w:val="333333"/>
        </w:rPr>
        <w:t>Annals of Hematology, 89</w:t>
      </w:r>
      <w:r w:rsidRPr="00C640D6">
        <w:rPr>
          <w:rFonts w:eastAsia="Times New Roman" w:cs="Times New Roman"/>
          <w:color w:val="333333"/>
          <w:shd w:val="clear" w:color="auto" w:fill="FFFFFF"/>
        </w:rPr>
        <w:t>(8), 767-773. doi</w:t>
      </w:r>
      <w:proofErr w:type="gramStart"/>
      <w:r w:rsidRPr="00C640D6">
        <w:rPr>
          <w:rFonts w:eastAsia="Times New Roman" w:cs="Times New Roman"/>
          <w:color w:val="333333"/>
          <w:shd w:val="clear" w:color="auto" w:fill="FFFFFF"/>
        </w:rPr>
        <w:t>:10.1007</w:t>
      </w:r>
      <w:proofErr w:type="gramEnd"/>
      <w:r w:rsidRPr="00C640D6">
        <w:rPr>
          <w:rFonts w:eastAsia="Times New Roman" w:cs="Times New Roman"/>
          <w:color w:val="333333"/>
          <w:shd w:val="clear" w:color="auto" w:fill="FFFFFF"/>
        </w:rPr>
        <w:t>/s00277-010-0901-9</w:t>
      </w:r>
    </w:p>
    <w:p w14:paraId="2A0A90A6" w14:textId="77777777" w:rsidR="00B21FA5" w:rsidRPr="00C640D6" w:rsidRDefault="00B21FA5" w:rsidP="00B21FA5">
      <w:pPr>
        <w:rPr>
          <w:rFonts w:eastAsia="Times New Roman" w:cs="Times New Roman"/>
          <w:color w:val="333333"/>
          <w:shd w:val="clear" w:color="auto" w:fill="FFFFFF"/>
        </w:rPr>
      </w:pPr>
      <w:proofErr w:type="spellStart"/>
      <w:proofErr w:type="gramStart"/>
      <w:r w:rsidRPr="00C640D6">
        <w:rPr>
          <w:rFonts w:eastAsia="Times New Roman" w:cs="Times New Roman"/>
          <w:color w:val="333333"/>
          <w:shd w:val="clear" w:color="auto" w:fill="FFFFFF"/>
        </w:rPr>
        <w:t>Hallberg</w:t>
      </w:r>
      <w:proofErr w:type="spellEnd"/>
      <w:r w:rsidRPr="00C640D6">
        <w:rPr>
          <w:rFonts w:eastAsia="Times New Roman" w:cs="Times New Roman"/>
          <w:color w:val="333333"/>
          <w:shd w:val="clear" w:color="auto" w:fill="FFFFFF"/>
        </w:rPr>
        <w:t xml:space="preserve">, L., </w:t>
      </w:r>
      <w:proofErr w:type="spellStart"/>
      <w:r w:rsidRPr="00C640D6">
        <w:rPr>
          <w:rFonts w:eastAsia="Times New Roman" w:cs="Times New Roman"/>
          <w:color w:val="333333"/>
          <w:shd w:val="clear" w:color="auto" w:fill="FFFFFF"/>
        </w:rPr>
        <w:t>Brune</w:t>
      </w:r>
      <w:proofErr w:type="spellEnd"/>
      <w:r w:rsidRPr="00C640D6">
        <w:rPr>
          <w:rFonts w:eastAsia="Times New Roman" w:cs="Times New Roman"/>
          <w:color w:val="333333"/>
          <w:shd w:val="clear" w:color="auto" w:fill="FFFFFF"/>
        </w:rPr>
        <w:t xml:space="preserve">, M., &amp; </w:t>
      </w:r>
      <w:proofErr w:type="spellStart"/>
      <w:r w:rsidRPr="00C640D6">
        <w:rPr>
          <w:rFonts w:eastAsia="Times New Roman" w:cs="Times New Roman"/>
          <w:color w:val="333333"/>
          <w:shd w:val="clear" w:color="auto" w:fill="FFFFFF"/>
        </w:rPr>
        <w:t>Rossander-Hulthen</w:t>
      </w:r>
      <w:proofErr w:type="spellEnd"/>
      <w:r w:rsidRPr="00C640D6">
        <w:rPr>
          <w:rFonts w:eastAsia="Times New Roman" w:cs="Times New Roman"/>
          <w:color w:val="333333"/>
          <w:shd w:val="clear" w:color="auto" w:fill="FFFFFF"/>
        </w:rPr>
        <w:t>, L. (1987).</w:t>
      </w:r>
      <w:proofErr w:type="gramEnd"/>
      <w:r w:rsidRPr="00C640D6">
        <w:rPr>
          <w:rFonts w:eastAsia="Times New Roman" w:cs="Times New Roman"/>
          <w:color w:val="333333"/>
          <w:shd w:val="clear" w:color="auto" w:fill="FFFFFF"/>
        </w:rPr>
        <w:t xml:space="preserve"> Is there a physiological role </w:t>
      </w:r>
      <w:proofErr w:type="gramStart"/>
      <w:r w:rsidRPr="00C640D6">
        <w:rPr>
          <w:rFonts w:eastAsia="Times New Roman" w:cs="Times New Roman"/>
          <w:color w:val="333333"/>
          <w:shd w:val="clear" w:color="auto" w:fill="FFFFFF"/>
        </w:rPr>
        <w:t>of</w:t>
      </w:r>
      <w:proofErr w:type="gramEnd"/>
      <w:r w:rsidRPr="00C640D6">
        <w:rPr>
          <w:rFonts w:eastAsia="Times New Roman" w:cs="Times New Roman"/>
          <w:color w:val="333333"/>
          <w:shd w:val="clear" w:color="auto" w:fill="FFFFFF"/>
        </w:rPr>
        <w:t xml:space="preserve"> </w:t>
      </w:r>
    </w:p>
    <w:p w14:paraId="47CB34C7" w14:textId="24F48778" w:rsidR="00B21FA5" w:rsidRPr="00C640D6" w:rsidRDefault="00B21FA5" w:rsidP="00B21FA5">
      <w:pPr>
        <w:ind w:left="720"/>
        <w:rPr>
          <w:rFonts w:eastAsia="Times New Roman" w:cs="Times New Roman"/>
        </w:rPr>
      </w:pPr>
      <w:proofErr w:type="gramStart"/>
      <w:r w:rsidRPr="00C640D6">
        <w:rPr>
          <w:rFonts w:eastAsia="Times New Roman" w:cs="Times New Roman"/>
          <w:color w:val="333333"/>
          <w:shd w:val="clear" w:color="auto" w:fill="FFFFFF"/>
        </w:rPr>
        <w:t>Vitamin C in iron absorption?</w:t>
      </w:r>
      <w:proofErr w:type="gramEnd"/>
      <w:r w:rsidRPr="00C640D6">
        <w:rPr>
          <w:rFonts w:eastAsia="Times New Roman" w:cs="Times New Roman"/>
          <w:color w:val="333333"/>
          <w:shd w:val="clear" w:color="auto" w:fill="FFFFFF"/>
        </w:rPr>
        <w:t> </w:t>
      </w:r>
      <w:proofErr w:type="gramStart"/>
      <w:r w:rsidRPr="00C640D6">
        <w:rPr>
          <w:rFonts w:eastAsia="Times New Roman" w:cs="Times New Roman"/>
          <w:i/>
          <w:iCs/>
          <w:color w:val="333333"/>
        </w:rPr>
        <w:t>Annals of the New York Academy of Sciences, 498</w:t>
      </w:r>
      <w:r w:rsidRPr="00C640D6">
        <w:rPr>
          <w:rFonts w:eastAsia="Times New Roman" w:cs="Times New Roman"/>
          <w:color w:val="333333"/>
          <w:shd w:val="clear" w:color="auto" w:fill="FFFFFF"/>
        </w:rPr>
        <w:t>(1).</w:t>
      </w:r>
      <w:proofErr w:type="gramEnd"/>
      <w:r w:rsidRPr="00C640D6">
        <w:rPr>
          <w:rFonts w:eastAsia="Times New Roman" w:cs="Times New Roman"/>
          <w:color w:val="333333"/>
          <w:shd w:val="clear" w:color="auto" w:fill="FFFFFF"/>
        </w:rPr>
        <w:t xml:space="preserve"> Retrieved October 15, 2018, from https://doi.org/10.1111/j.1749-6632.1987.tb23771.x.</w:t>
      </w:r>
    </w:p>
    <w:p w14:paraId="4F2F086D" w14:textId="77777777" w:rsidR="00B21FA5" w:rsidRPr="00C640D6" w:rsidRDefault="00B21FA5" w:rsidP="00B21FA5">
      <w:pPr>
        <w:rPr>
          <w:rFonts w:eastAsia="Times New Roman" w:cs="Times New Roman"/>
          <w:i/>
          <w:iCs/>
          <w:color w:val="333333"/>
        </w:rPr>
      </w:pPr>
      <w:proofErr w:type="gramStart"/>
      <w:r w:rsidRPr="00C640D6">
        <w:rPr>
          <w:rFonts w:eastAsia="Times New Roman" w:cs="Times New Roman"/>
          <w:color w:val="333333"/>
          <w:shd w:val="clear" w:color="auto" w:fill="FFFFFF"/>
        </w:rPr>
        <w:t>Herbert, V. (1995).</w:t>
      </w:r>
      <w:proofErr w:type="gramEnd"/>
      <w:r w:rsidRPr="00C640D6">
        <w:rPr>
          <w:rFonts w:eastAsia="Times New Roman" w:cs="Times New Roman"/>
          <w:color w:val="333333"/>
          <w:shd w:val="clear" w:color="auto" w:fill="FFFFFF"/>
        </w:rPr>
        <w:t xml:space="preserve"> </w:t>
      </w:r>
      <w:proofErr w:type="gramStart"/>
      <w:r w:rsidRPr="00C640D6">
        <w:rPr>
          <w:rFonts w:eastAsia="Times New Roman" w:cs="Times New Roman"/>
          <w:color w:val="333333"/>
          <w:shd w:val="clear" w:color="auto" w:fill="FFFFFF"/>
        </w:rPr>
        <w:t>Vitamin C supplements and disease-counterpoint.</w:t>
      </w:r>
      <w:proofErr w:type="gramEnd"/>
      <w:r w:rsidRPr="00C640D6">
        <w:rPr>
          <w:rFonts w:eastAsia="Times New Roman" w:cs="Times New Roman"/>
          <w:color w:val="333333"/>
          <w:shd w:val="clear" w:color="auto" w:fill="FFFFFF"/>
        </w:rPr>
        <w:t> </w:t>
      </w:r>
      <w:r w:rsidRPr="00C640D6">
        <w:rPr>
          <w:rFonts w:eastAsia="Times New Roman" w:cs="Times New Roman"/>
          <w:i/>
          <w:iCs/>
          <w:color w:val="333333"/>
        </w:rPr>
        <w:t xml:space="preserve">Journal of the American </w:t>
      </w:r>
    </w:p>
    <w:p w14:paraId="1124F4E1" w14:textId="53FDBB1E" w:rsidR="00B21FA5" w:rsidRPr="00C640D6" w:rsidRDefault="00B21FA5" w:rsidP="00B21FA5">
      <w:pPr>
        <w:ind w:firstLine="720"/>
        <w:rPr>
          <w:rFonts w:eastAsia="Times New Roman" w:cs="Times New Roman"/>
          <w:color w:val="333333"/>
          <w:shd w:val="clear" w:color="auto" w:fill="FFFFFF"/>
        </w:rPr>
      </w:pPr>
      <w:proofErr w:type="gramStart"/>
      <w:r w:rsidRPr="00C640D6">
        <w:rPr>
          <w:rFonts w:eastAsia="Times New Roman" w:cs="Times New Roman"/>
          <w:i/>
          <w:iCs/>
          <w:color w:val="333333"/>
        </w:rPr>
        <w:t>College of Nutrition, 14</w:t>
      </w:r>
      <w:r w:rsidRPr="00C640D6">
        <w:rPr>
          <w:rFonts w:eastAsia="Times New Roman" w:cs="Times New Roman"/>
          <w:color w:val="333333"/>
          <w:shd w:val="clear" w:color="auto" w:fill="FFFFFF"/>
        </w:rPr>
        <w:t>(2), 112-113.</w:t>
      </w:r>
      <w:proofErr w:type="gramEnd"/>
      <w:r w:rsidRPr="00C640D6">
        <w:rPr>
          <w:rFonts w:eastAsia="Times New Roman" w:cs="Times New Roman"/>
          <w:color w:val="333333"/>
          <w:shd w:val="clear" w:color="auto" w:fill="FFFFFF"/>
        </w:rPr>
        <w:t xml:space="preserve"> </w:t>
      </w:r>
      <w:proofErr w:type="gramStart"/>
      <w:r w:rsidRPr="00C640D6">
        <w:rPr>
          <w:rFonts w:eastAsia="Times New Roman" w:cs="Times New Roman"/>
          <w:color w:val="333333"/>
          <w:shd w:val="clear" w:color="auto" w:fill="FFFFFF"/>
        </w:rPr>
        <w:t>doi:10.1080</w:t>
      </w:r>
      <w:proofErr w:type="gramEnd"/>
      <w:r w:rsidRPr="00C640D6">
        <w:rPr>
          <w:rFonts w:eastAsia="Times New Roman" w:cs="Times New Roman"/>
          <w:color w:val="333333"/>
          <w:shd w:val="clear" w:color="auto" w:fill="FFFFFF"/>
        </w:rPr>
        <w:t>/07315724.1995.10718481</w:t>
      </w:r>
    </w:p>
    <w:p w14:paraId="27BA4F1D" w14:textId="77777777" w:rsidR="00832470" w:rsidRPr="00C640D6" w:rsidRDefault="00832470" w:rsidP="00832470">
      <w:pPr>
        <w:rPr>
          <w:rFonts w:eastAsia="Times New Roman" w:cs="Times New Roman"/>
          <w:color w:val="333333"/>
          <w:shd w:val="clear" w:color="auto" w:fill="FFFFFF"/>
        </w:rPr>
      </w:pPr>
      <w:r w:rsidRPr="00C640D6">
        <w:rPr>
          <w:rFonts w:eastAsia="Times New Roman" w:cs="Times New Roman"/>
          <w:color w:val="333333"/>
          <w:shd w:val="clear" w:color="auto" w:fill="FFFFFF"/>
        </w:rPr>
        <w:t>Iron-Rich Foods and Anemia: Management and Treatment</w:t>
      </w:r>
      <w:r w:rsidRPr="00C640D6">
        <w:rPr>
          <w:rFonts w:eastAsia="Times New Roman" w:cs="Times New Roman"/>
          <w:i/>
          <w:color w:val="333333"/>
          <w:shd w:val="clear" w:color="auto" w:fill="FFFFFF"/>
        </w:rPr>
        <w:t xml:space="preserve">. </w:t>
      </w:r>
      <w:proofErr w:type="gramStart"/>
      <w:r w:rsidRPr="00C640D6">
        <w:rPr>
          <w:rFonts w:eastAsia="Times New Roman" w:cs="Times New Roman"/>
          <w:i/>
          <w:color w:val="333333"/>
          <w:shd w:val="clear" w:color="auto" w:fill="FFFFFF"/>
        </w:rPr>
        <w:t>Cleveland Clinic</w:t>
      </w:r>
      <w:r w:rsidRPr="00C640D6">
        <w:rPr>
          <w:rFonts w:eastAsia="Times New Roman" w:cs="Times New Roman"/>
          <w:color w:val="333333"/>
          <w:shd w:val="clear" w:color="auto" w:fill="FFFFFF"/>
        </w:rPr>
        <w:t xml:space="preserve"> (2017).</w:t>
      </w:r>
      <w:proofErr w:type="gramEnd"/>
      <w:r w:rsidRPr="00C640D6">
        <w:rPr>
          <w:rFonts w:eastAsia="Times New Roman" w:cs="Times New Roman"/>
          <w:color w:val="333333"/>
          <w:shd w:val="clear" w:color="auto" w:fill="FFFFFF"/>
        </w:rPr>
        <w:t xml:space="preserve"> (</w:t>
      </w:r>
      <w:proofErr w:type="gramStart"/>
      <w:r w:rsidRPr="00C640D6">
        <w:rPr>
          <w:rFonts w:eastAsia="Times New Roman" w:cs="Times New Roman"/>
          <w:color w:val="333333"/>
          <w:shd w:val="clear" w:color="auto" w:fill="FFFFFF"/>
        </w:rPr>
        <w:t>online</w:t>
      </w:r>
      <w:proofErr w:type="gramEnd"/>
      <w:r w:rsidRPr="00C640D6">
        <w:rPr>
          <w:rFonts w:eastAsia="Times New Roman" w:cs="Times New Roman"/>
          <w:color w:val="333333"/>
          <w:shd w:val="clear" w:color="auto" w:fill="FFFFFF"/>
        </w:rPr>
        <w:t xml:space="preserve">). </w:t>
      </w:r>
    </w:p>
    <w:p w14:paraId="7DB1C192" w14:textId="3179C229" w:rsidR="00832470" w:rsidRPr="00C640D6" w:rsidRDefault="00F8118D" w:rsidP="00832470">
      <w:pPr>
        <w:ind w:left="720"/>
        <w:rPr>
          <w:rFonts w:cs="Times New Roman"/>
        </w:rPr>
      </w:pPr>
      <w:hyperlink r:id="rId8" w:history="1">
        <w:r w:rsidR="00832470" w:rsidRPr="00C640D6">
          <w:rPr>
            <w:rStyle w:val="Hyperlink"/>
            <w:rFonts w:cs="Times New Roman"/>
          </w:rPr>
          <w:t>https://my.clevelandclinic.org/health/diseases/14621-iron-rich-foods-and-anemia/management-and-treatment</w:t>
        </w:r>
      </w:hyperlink>
    </w:p>
    <w:p w14:paraId="48005466" w14:textId="77777777" w:rsidR="00B21FA5" w:rsidRPr="00C640D6" w:rsidRDefault="00B21FA5" w:rsidP="00B21FA5">
      <w:pPr>
        <w:rPr>
          <w:rFonts w:eastAsia="Times New Roman" w:cs="Times New Roman"/>
          <w:color w:val="333333"/>
          <w:shd w:val="clear" w:color="auto" w:fill="FFFFFF"/>
        </w:rPr>
      </w:pPr>
      <w:r w:rsidRPr="00C640D6">
        <w:rPr>
          <w:rFonts w:eastAsia="Times New Roman" w:cs="Times New Roman"/>
          <w:color w:val="333333"/>
          <w:shd w:val="clear" w:color="auto" w:fill="FFFFFF"/>
        </w:rPr>
        <w:t xml:space="preserve">McCune, A. (2008). Sex, Drugs, and "Heavy Metal": Does Diet Also Matter in the Clinical </w:t>
      </w:r>
    </w:p>
    <w:p w14:paraId="3E1E0924" w14:textId="168250CB" w:rsidR="00B21FA5" w:rsidRPr="00C640D6" w:rsidRDefault="00B21FA5" w:rsidP="00B21FA5">
      <w:pPr>
        <w:ind w:left="720"/>
        <w:rPr>
          <w:rFonts w:eastAsia="Times New Roman" w:cs="Times New Roman"/>
        </w:rPr>
      </w:pPr>
      <w:proofErr w:type="gramStart"/>
      <w:r w:rsidRPr="00C640D6">
        <w:rPr>
          <w:rFonts w:eastAsia="Times New Roman" w:cs="Times New Roman"/>
          <w:color w:val="333333"/>
          <w:shd w:val="clear" w:color="auto" w:fill="FFFFFF"/>
        </w:rPr>
        <w:t>Expression of Hereditary Hemochromatosis?</w:t>
      </w:r>
      <w:proofErr w:type="gramEnd"/>
      <w:r w:rsidRPr="00C640D6">
        <w:rPr>
          <w:rFonts w:eastAsia="Times New Roman" w:cs="Times New Roman"/>
          <w:color w:val="333333"/>
          <w:shd w:val="clear" w:color="auto" w:fill="FFFFFF"/>
        </w:rPr>
        <w:t> </w:t>
      </w:r>
      <w:proofErr w:type="gramStart"/>
      <w:r w:rsidRPr="00C640D6">
        <w:rPr>
          <w:rFonts w:eastAsia="Times New Roman" w:cs="Times New Roman"/>
          <w:i/>
          <w:iCs/>
          <w:color w:val="333333"/>
        </w:rPr>
        <w:t>Mayo Clinic Proceedings, 83</w:t>
      </w:r>
      <w:r w:rsidRPr="00C640D6">
        <w:rPr>
          <w:rFonts w:eastAsia="Times New Roman" w:cs="Times New Roman"/>
          <w:color w:val="333333"/>
          <w:shd w:val="clear" w:color="auto" w:fill="FFFFFF"/>
        </w:rPr>
        <w:t>(5), 526-528.</w:t>
      </w:r>
      <w:proofErr w:type="gramEnd"/>
      <w:r w:rsidRPr="00C640D6">
        <w:rPr>
          <w:rFonts w:eastAsia="Times New Roman" w:cs="Times New Roman"/>
          <w:color w:val="333333"/>
          <w:shd w:val="clear" w:color="auto" w:fill="FFFFFF"/>
        </w:rPr>
        <w:t xml:space="preserve"> </w:t>
      </w:r>
      <w:proofErr w:type="gramStart"/>
      <w:r w:rsidRPr="00C640D6">
        <w:rPr>
          <w:rFonts w:eastAsia="Times New Roman" w:cs="Times New Roman"/>
          <w:color w:val="333333"/>
          <w:shd w:val="clear" w:color="auto" w:fill="FFFFFF"/>
        </w:rPr>
        <w:t>doi:10.4065</w:t>
      </w:r>
      <w:proofErr w:type="gramEnd"/>
      <w:r w:rsidRPr="00C640D6">
        <w:rPr>
          <w:rFonts w:eastAsia="Times New Roman" w:cs="Times New Roman"/>
          <w:color w:val="333333"/>
          <w:shd w:val="clear" w:color="auto" w:fill="FFFFFF"/>
        </w:rPr>
        <w:t>/83.5.526</w:t>
      </w:r>
    </w:p>
    <w:p w14:paraId="20623C90" w14:textId="77777777" w:rsidR="00B21FA5" w:rsidRPr="00C640D6" w:rsidRDefault="00B21FA5" w:rsidP="00B21FA5">
      <w:pPr>
        <w:rPr>
          <w:rFonts w:eastAsia="Times New Roman" w:cs="Times New Roman"/>
          <w:i/>
          <w:iCs/>
          <w:color w:val="333333"/>
        </w:rPr>
      </w:pPr>
      <w:r w:rsidRPr="00C640D6">
        <w:rPr>
          <w:rFonts w:eastAsia="Times New Roman" w:cs="Times New Roman"/>
          <w:color w:val="333333"/>
          <w:shd w:val="clear" w:color="auto" w:fill="FFFFFF"/>
        </w:rPr>
        <w:t>Naugler, C. (2008). Hemochromatosis: A Neolithic adaptation to cereal grain diets. </w:t>
      </w:r>
      <w:r w:rsidRPr="00C640D6">
        <w:rPr>
          <w:rFonts w:eastAsia="Times New Roman" w:cs="Times New Roman"/>
          <w:i/>
          <w:iCs/>
          <w:color w:val="333333"/>
        </w:rPr>
        <w:t xml:space="preserve">Medical </w:t>
      </w:r>
    </w:p>
    <w:p w14:paraId="13274A2E" w14:textId="4545562A" w:rsidR="00B21FA5" w:rsidRPr="00C640D6" w:rsidRDefault="00B21FA5" w:rsidP="00B21FA5">
      <w:pPr>
        <w:ind w:firstLine="720"/>
        <w:rPr>
          <w:rFonts w:eastAsia="Times New Roman" w:cs="Times New Roman"/>
        </w:rPr>
      </w:pPr>
      <w:proofErr w:type="gramStart"/>
      <w:r w:rsidRPr="00C640D6">
        <w:rPr>
          <w:rFonts w:eastAsia="Times New Roman" w:cs="Times New Roman"/>
          <w:i/>
          <w:iCs/>
          <w:color w:val="333333"/>
        </w:rPr>
        <w:t>Hypotheses, 70</w:t>
      </w:r>
      <w:r w:rsidRPr="00C640D6">
        <w:rPr>
          <w:rFonts w:eastAsia="Times New Roman" w:cs="Times New Roman"/>
          <w:color w:val="333333"/>
          <w:shd w:val="clear" w:color="auto" w:fill="FFFFFF"/>
        </w:rPr>
        <w:t>(3), 691-692.</w:t>
      </w:r>
      <w:proofErr w:type="gramEnd"/>
      <w:r w:rsidRPr="00C640D6">
        <w:rPr>
          <w:rFonts w:eastAsia="Times New Roman" w:cs="Times New Roman"/>
          <w:color w:val="333333"/>
          <w:shd w:val="clear" w:color="auto" w:fill="FFFFFF"/>
        </w:rPr>
        <w:t xml:space="preserve"> </w:t>
      </w:r>
      <w:proofErr w:type="gramStart"/>
      <w:r w:rsidRPr="00C640D6">
        <w:rPr>
          <w:rFonts w:eastAsia="Times New Roman" w:cs="Times New Roman"/>
          <w:color w:val="333333"/>
          <w:shd w:val="clear" w:color="auto" w:fill="FFFFFF"/>
        </w:rPr>
        <w:t>doi:10.1016</w:t>
      </w:r>
      <w:proofErr w:type="gramEnd"/>
      <w:r w:rsidRPr="00C640D6">
        <w:rPr>
          <w:rFonts w:eastAsia="Times New Roman" w:cs="Times New Roman"/>
          <w:color w:val="333333"/>
          <w:shd w:val="clear" w:color="auto" w:fill="FFFFFF"/>
        </w:rPr>
        <w:t>/j.mehy.2007.06.020</w:t>
      </w:r>
    </w:p>
    <w:p w14:paraId="100773E2" w14:textId="77777777" w:rsidR="00B21FA5" w:rsidRPr="00C640D6" w:rsidRDefault="00B21FA5" w:rsidP="00B21FA5">
      <w:pPr>
        <w:rPr>
          <w:rFonts w:eastAsia="Times New Roman" w:cs="Times New Roman"/>
          <w:i/>
          <w:iCs/>
          <w:color w:val="333333"/>
          <w:shd w:val="clear" w:color="auto" w:fill="FFFFFF"/>
        </w:rPr>
      </w:pPr>
      <w:r w:rsidRPr="00C640D6">
        <w:rPr>
          <w:rFonts w:eastAsia="Times New Roman" w:cs="Times New Roman"/>
          <w:color w:val="333333"/>
          <w:shd w:val="clear" w:color="auto" w:fill="FFFFFF"/>
        </w:rPr>
        <w:t>Noonan, S. &amp; Savage, G</w:t>
      </w:r>
      <w:proofErr w:type="gramStart"/>
      <w:r w:rsidRPr="00C640D6">
        <w:rPr>
          <w:rFonts w:eastAsia="Times New Roman" w:cs="Times New Roman"/>
          <w:color w:val="333333"/>
          <w:shd w:val="clear" w:color="auto" w:fill="FFFFFF"/>
        </w:rPr>
        <w:t>..</w:t>
      </w:r>
      <w:proofErr w:type="gramEnd"/>
      <w:r w:rsidRPr="00C640D6">
        <w:rPr>
          <w:rFonts w:eastAsia="Times New Roman" w:cs="Times New Roman"/>
          <w:color w:val="333333"/>
          <w:shd w:val="clear" w:color="auto" w:fill="FFFFFF"/>
        </w:rPr>
        <w:t xml:space="preserve"> (1999)</w:t>
      </w:r>
      <w:proofErr w:type="gramStart"/>
      <w:r w:rsidRPr="00C640D6">
        <w:rPr>
          <w:rFonts w:eastAsia="Times New Roman" w:cs="Times New Roman"/>
          <w:color w:val="333333"/>
          <w:shd w:val="clear" w:color="auto" w:fill="FFFFFF"/>
        </w:rPr>
        <w:t>. Oxalate content of foods and its effect on humans.</w:t>
      </w:r>
      <w:proofErr w:type="gramEnd"/>
      <w:r w:rsidRPr="00C640D6">
        <w:rPr>
          <w:rFonts w:eastAsia="Times New Roman" w:cs="Times New Roman"/>
          <w:color w:val="333333"/>
          <w:shd w:val="clear" w:color="auto" w:fill="FFFFFF"/>
        </w:rPr>
        <w:t xml:space="preserve"> </w:t>
      </w:r>
      <w:r w:rsidRPr="00C640D6">
        <w:rPr>
          <w:rFonts w:eastAsia="Times New Roman" w:cs="Times New Roman"/>
          <w:i/>
          <w:iCs/>
          <w:color w:val="333333"/>
          <w:shd w:val="clear" w:color="auto" w:fill="FFFFFF"/>
        </w:rPr>
        <w:t xml:space="preserve">Asia </w:t>
      </w:r>
    </w:p>
    <w:p w14:paraId="0767F47E" w14:textId="4A0E7803" w:rsidR="00B21FA5" w:rsidRPr="00C640D6" w:rsidRDefault="00B21FA5" w:rsidP="00B21FA5">
      <w:pPr>
        <w:ind w:left="720"/>
        <w:rPr>
          <w:rFonts w:eastAsia="Times New Roman" w:cs="Times New Roman"/>
          <w:color w:val="005274"/>
          <w:u w:val="single"/>
          <w:shd w:val="clear" w:color="auto" w:fill="FFFFFF"/>
        </w:rPr>
      </w:pPr>
      <w:proofErr w:type="gramStart"/>
      <w:r w:rsidRPr="00C640D6">
        <w:rPr>
          <w:rFonts w:eastAsia="Times New Roman" w:cs="Times New Roman"/>
          <w:i/>
          <w:iCs/>
          <w:color w:val="333333"/>
          <w:shd w:val="clear" w:color="auto" w:fill="FFFFFF"/>
        </w:rPr>
        <w:t>Pacific Journal of Clinical Nutrition</w:t>
      </w:r>
      <w:r w:rsidRPr="00C640D6">
        <w:rPr>
          <w:rFonts w:eastAsia="Times New Roman" w:cs="Times New Roman"/>
          <w:color w:val="333333"/>
          <w:shd w:val="clear" w:color="auto" w:fill="FFFFFF"/>
        </w:rPr>
        <w:t>, 8(1) 64-74.</w:t>
      </w:r>
      <w:proofErr w:type="gramEnd"/>
      <w:r w:rsidRPr="00C640D6">
        <w:rPr>
          <w:rFonts w:eastAsia="Times New Roman" w:cs="Times New Roman"/>
          <w:color w:val="333333"/>
          <w:shd w:val="clear" w:color="auto" w:fill="FFFFFF"/>
        </w:rPr>
        <w:t xml:space="preserve"> </w:t>
      </w:r>
      <w:hyperlink r:id="rId9" w:history="1">
        <w:r w:rsidRPr="00C640D6">
          <w:rPr>
            <w:rFonts w:eastAsia="Times New Roman" w:cs="Times New Roman"/>
            <w:color w:val="005274"/>
            <w:u w:val="single"/>
            <w:shd w:val="clear" w:color="auto" w:fill="FFFFFF"/>
          </w:rPr>
          <w:t>https://doi.org/10.1046/j.1440-6047.1999.00038.x</w:t>
        </w:r>
      </w:hyperlink>
    </w:p>
    <w:p w14:paraId="281EE083" w14:textId="77777777" w:rsidR="00B21FA5" w:rsidRPr="00C640D6" w:rsidRDefault="00B21FA5" w:rsidP="00B21FA5">
      <w:pPr>
        <w:rPr>
          <w:rFonts w:eastAsia="Times New Roman" w:cs="Times New Roman"/>
          <w:color w:val="333333"/>
          <w:shd w:val="clear" w:color="auto" w:fill="FFFFFF"/>
        </w:rPr>
      </w:pPr>
      <w:proofErr w:type="gramStart"/>
      <w:r w:rsidRPr="00C640D6">
        <w:rPr>
          <w:rFonts w:eastAsia="Times New Roman" w:cs="Times New Roman"/>
          <w:color w:val="333333"/>
          <w:shd w:val="clear" w:color="auto" w:fill="FFFFFF"/>
        </w:rPr>
        <w:t xml:space="preserve">Olsson, K. S., </w:t>
      </w:r>
      <w:proofErr w:type="spellStart"/>
      <w:r w:rsidRPr="00C640D6">
        <w:rPr>
          <w:rFonts w:eastAsia="Times New Roman" w:cs="Times New Roman"/>
          <w:color w:val="333333"/>
          <w:shd w:val="clear" w:color="auto" w:fill="FFFFFF"/>
        </w:rPr>
        <w:t>Vaisanen</w:t>
      </w:r>
      <w:proofErr w:type="spellEnd"/>
      <w:r w:rsidRPr="00C640D6">
        <w:rPr>
          <w:rFonts w:eastAsia="Times New Roman" w:cs="Times New Roman"/>
          <w:color w:val="333333"/>
          <w:shd w:val="clear" w:color="auto" w:fill="FFFFFF"/>
        </w:rPr>
        <w:t>, M., &amp; Bruce, A. (1997).</w:t>
      </w:r>
      <w:proofErr w:type="gramEnd"/>
      <w:r w:rsidRPr="00C640D6">
        <w:rPr>
          <w:rFonts w:eastAsia="Times New Roman" w:cs="Times New Roman"/>
          <w:color w:val="333333"/>
          <w:shd w:val="clear" w:color="auto" w:fill="FFFFFF"/>
        </w:rPr>
        <w:t xml:space="preserve"> The effect of withdrawal of food iron </w:t>
      </w:r>
    </w:p>
    <w:p w14:paraId="3A6288C4" w14:textId="2E719A31" w:rsidR="00B21FA5" w:rsidRPr="00C640D6" w:rsidRDefault="00B21FA5" w:rsidP="00B21FA5">
      <w:pPr>
        <w:ind w:left="720"/>
        <w:rPr>
          <w:rFonts w:eastAsia="Times New Roman" w:cs="Times New Roman"/>
          <w:color w:val="333333"/>
          <w:shd w:val="clear" w:color="auto" w:fill="FFFFFF"/>
        </w:rPr>
      </w:pPr>
      <w:proofErr w:type="gramStart"/>
      <w:r w:rsidRPr="00C640D6">
        <w:rPr>
          <w:rFonts w:eastAsia="Times New Roman" w:cs="Times New Roman"/>
          <w:color w:val="333333"/>
          <w:shd w:val="clear" w:color="auto" w:fill="FFFFFF"/>
        </w:rPr>
        <w:t>fortification</w:t>
      </w:r>
      <w:proofErr w:type="gramEnd"/>
      <w:r w:rsidRPr="00C640D6">
        <w:rPr>
          <w:rFonts w:eastAsia="Times New Roman" w:cs="Times New Roman"/>
          <w:color w:val="333333"/>
          <w:shd w:val="clear" w:color="auto" w:fill="FFFFFF"/>
        </w:rPr>
        <w:t xml:space="preserve"> in Sweden as studied with phlebotomy in subjects with genetic hemochromatosis. </w:t>
      </w:r>
      <w:proofErr w:type="gramStart"/>
      <w:r w:rsidRPr="00C640D6">
        <w:rPr>
          <w:rFonts w:eastAsia="Times New Roman" w:cs="Times New Roman"/>
          <w:i/>
          <w:iCs/>
          <w:color w:val="333333"/>
        </w:rPr>
        <w:t xml:space="preserve">European Journal of Clinical Nutrition, </w:t>
      </w:r>
      <w:r w:rsidRPr="00C640D6">
        <w:rPr>
          <w:rFonts w:eastAsia="Times New Roman" w:cs="Times New Roman"/>
          <w:iCs/>
          <w:color w:val="333333"/>
        </w:rPr>
        <w:t>51</w:t>
      </w:r>
      <w:r w:rsidRPr="00C640D6">
        <w:rPr>
          <w:rFonts w:eastAsia="Times New Roman" w:cs="Times New Roman"/>
          <w:color w:val="333333"/>
          <w:shd w:val="clear" w:color="auto" w:fill="FFFFFF"/>
        </w:rPr>
        <w:t>(11), 782-786.</w:t>
      </w:r>
      <w:proofErr w:type="gramEnd"/>
      <w:r w:rsidRPr="00C640D6">
        <w:rPr>
          <w:rFonts w:eastAsia="Times New Roman" w:cs="Times New Roman"/>
          <w:color w:val="333333"/>
          <w:shd w:val="clear" w:color="auto" w:fill="FFFFFF"/>
        </w:rPr>
        <w:t xml:space="preserve"> </w:t>
      </w:r>
      <w:proofErr w:type="gramStart"/>
      <w:r w:rsidRPr="00C640D6">
        <w:rPr>
          <w:rFonts w:eastAsia="Times New Roman" w:cs="Times New Roman"/>
          <w:color w:val="333333"/>
          <w:shd w:val="clear" w:color="auto" w:fill="FFFFFF"/>
        </w:rPr>
        <w:t>doi:10.1038</w:t>
      </w:r>
      <w:proofErr w:type="gramEnd"/>
      <w:r w:rsidRPr="00C640D6">
        <w:rPr>
          <w:rFonts w:eastAsia="Times New Roman" w:cs="Times New Roman"/>
          <w:color w:val="333333"/>
          <w:shd w:val="clear" w:color="auto" w:fill="FFFFFF"/>
        </w:rPr>
        <w:t>/sj.ejcn.1600488</w:t>
      </w:r>
    </w:p>
    <w:p w14:paraId="0FF0BFB4" w14:textId="299D6C52" w:rsidR="000A372B" w:rsidRPr="000A372B" w:rsidRDefault="000A372B" w:rsidP="000A372B">
      <w:pPr>
        <w:rPr>
          <w:rStyle w:val="Hyperlink"/>
          <w:rFonts w:cs="Times New Roman"/>
        </w:rPr>
      </w:pPr>
      <w:r>
        <w:rPr>
          <w:rFonts w:cs="Times New Roman"/>
        </w:rPr>
        <w:t>Oxalate Urine</w:t>
      </w:r>
      <w:r w:rsidR="006F7CD0" w:rsidRPr="00C640D6">
        <w:rPr>
          <w:rFonts w:cs="Times New Roman"/>
        </w:rPr>
        <w:t xml:space="preserve"> Test. </w:t>
      </w:r>
      <w:r>
        <w:rPr>
          <w:rFonts w:cs="Times New Roman"/>
          <w:i/>
        </w:rPr>
        <w:t>Walk-In Lab</w:t>
      </w:r>
      <w:r w:rsidR="006F7CD0" w:rsidRPr="00C640D6">
        <w:rPr>
          <w:rFonts w:cs="Times New Roman"/>
        </w:rPr>
        <w:t xml:space="preserve">. (online). </w:t>
      </w:r>
      <w:r>
        <w:rPr>
          <w:rFonts w:cs="Times New Roman"/>
        </w:rPr>
        <w:fldChar w:fldCharType="begin"/>
      </w:r>
      <w:r>
        <w:rPr>
          <w:rFonts w:cs="Times New Roman"/>
        </w:rPr>
        <w:instrText xml:space="preserve"> HYPERLINK "https://www.walkinlab.com/oxalate-quantitative-24-hoururinetest.html" </w:instrText>
      </w:r>
      <w:r>
        <w:rPr>
          <w:rFonts w:cs="Times New Roman"/>
        </w:rPr>
        <w:fldChar w:fldCharType="separate"/>
      </w:r>
      <w:r w:rsidRPr="000A372B">
        <w:rPr>
          <w:rStyle w:val="Hyperlink"/>
          <w:rFonts w:cs="Times New Roman"/>
        </w:rPr>
        <w:t>https://www.walkinlab.com/oxalate-quantitative-24-</w:t>
      </w:r>
    </w:p>
    <w:p w14:paraId="33449147" w14:textId="23DD5D42" w:rsidR="000A372B" w:rsidRDefault="000A372B" w:rsidP="000A372B">
      <w:pPr>
        <w:ind w:firstLine="720"/>
        <w:rPr>
          <w:rFonts w:cs="Times New Roman"/>
        </w:rPr>
      </w:pPr>
      <w:r w:rsidRPr="000A372B">
        <w:rPr>
          <w:rStyle w:val="Hyperlink"/>
          <w:rFonts w:cs="Times New Roman"/>
        </w:rPr>
        <w:t>hoururinetest.html</w:t>
      </w:r>
      <w:r>
        <w:rPr>
          <w:rFonts w:cs="Times New Roman"/>
        </w:rPr>
        <w:fldChar w:fldCharType="end"/>
      </w:r>
    </w:p>
    <w:p w14:paraId="5AF9DD38" w14:textId="68861E0B" w:rsidR="0017430B" w:rsidRPr="00C640D6" w:rsidRDefault="00761622" w:rsidP="000A372B">
      <w:pPr>
        <w:rPr>
          <w:rFonts w:cs="Times New Roman"/>
        </w:rPr>
      </w:pPr>
      <w:proofErr w:type="gramStart"/>
      <w:r>
        <w:rPr>
          <w:rFonts w:cs="Times New Roman"/>
        </w:rPr>
        <w:t>Serum Iron T</w:t>
      </w:r>
      <w:r w:rsidR="0017430B" w:rsidRPr="00C640D6">
        <w:rPr>
          <w:rFonts w:cs="Times New Roman"/>
        </w:rPr>
        <w:t>est.</w:t>
      </w:r>
      <w:proofErr w:type="gramEnd"/>
      <w:r w:rsidR="0017430B" w:rsidRPr="00C640D6">
        <w:rPr>
          <w:rFonts w:cs="Times New Roman"/>
        </w:rPr>
        <w:t xml:space="preserve">  </w:t>
      </w:r>
      <w:proofErr w:type="gramStart"/>
      <w:r w:rsidR="0017430B" w:rsidRPr="00C640D6">
        <w:rPr>
          <w:rFonts w:cs="Times New Roman"/>
          <w:i/>
        </w:rPr>
        <w:t>Appalachian Regional Healthcare</w:t>
      </w:r>
      <w:r w:rsidR="0017430B" w:rsidRPr="00C640D6">
        <w:rPr>
          <w:rFonts w:cs="Times New Roman"/>
        </w:rPr>
        <w:t xml:space="preserve"> (2018).</w:t>
      </w:r>
      <w:proofErr w:type="gramEnd"/>
      <w:r w:rsidR="0017430B" w:rsidRPr="00C640D6">
        <w:rPr>
          <w:rFonts w:cs="Times New Roman"/>
        </w:rPr>
        <w:t xml:space="preserve"> Reviewed by Richard </w:t>
      </w:r>
      <w:proofErr w:type="spellStart"/>
      <w:r w:rsidR="0017430B" w:rsidRPr="00C640D6">
        <w:rPr>
          <w:rFonts w:cs="Times New Roman"/>
        </w:rPr>
        <w:t>LoCicero</w:t>
      </w:r>
      <w:proofErr w:type="spellEnd"/>
      <w:r w:rsidR="0017430B" w:rsidRPr="00C640D6">
        <w:rPr>
          <w:rFonts w:cs="Times New Roman"/>
        </w:rPr>
        <w:t xml:space="preserve">. </w:t>
      </w:r>
    </w:p>
    <w:p w14:paraId="1C2DC911" w14:textId="38BD3D0D" w:rsidR="0017430B" w:rsidRPr="00C640D6" w:rsidRDefault="0017430B" w:rsidP="0017430B">
      <w:pPr>
        <w:ind w:firstLine="720"/>
        <w:rPr>
          <w:rFonts w:cs="Times New Roman"/>
        </w:rPr>
      </w:pPr>
      <w:r w:rsidRPr="00C640D6">
        <w:rPr>
          <w:rFonts w:cs="Times New Roman"/>
        </w:rPr>
        <w:t>(</w:t>
      </w:r>
      <w:proofErr w:type="gramStart"/>
      <w:r w:rsidRPr="00C640D6">
        <w:rPr>
          <w:rFonts w:cs="Times New Roman"/>
        </w:rPr>
        <w:t>online</w:t>
      </w:r>
      <w:proofErr w:type="gramEnd"/>
      <w:r w:rsidRPr="00C640D6">
        <w:rPr>
          <w:rFonts w:cs="Times New Roman"/>
        </w:rPr>
        <w:t>)</w:t>
      </w:r>
      <w:r w:rsidR="006F7CD0" w:rsidRPr="00C640D6">
        <w:rPr>
          <w:rFonts w:cs="Times New Roman"/>
        </w:rPr>
        <w:t>.</w:t>
      </w:r>
      <w:r w:rsidRPr="00C640D6">
        <w:rPr>
          <w:rFonts w:cs="Times New Roman"/>
        </w:rPr>
        <w:t xml:space="preserve"> </w:t>
      </w:r>
      <w:hyperlink r:id="rId10" w:history="1">
        <w:r w:rsidRPr="00C640D6">
          <w:rPr>
            <w:rStyle w:val="Hyperlink"/>
            <w:rFonts w:cs="Times New Roman"/>
          </w:rPr>
          <w:t>http://arh.adam.com/content.aspx?productId=101&amp;pid=1&amp;gid=003488</w:t>
        </w:r>
      </w:hyperlink>
      <w:r w:rsidRPr="00C640D6">
        <w:rPr>
          <w:rFonts w:cs="Times New Roman"/>
        </w:rPr>
        <w:t xml:space="preserve"> </w:t>
      </w:r>
    </w:p>
    <w:p w14:paraId="57352849" w14:textId="77777777" w:rsidR="00B21FA5" w:rsidRPr="00C640D6" w:rsidRDefault="00B21FA5" w:rsidP="00B21FA5">
      <w:pPr>
        <w:rPr>
          <w:rFonts w:cs="Times New Roman"/>
          <w:color w:val="333333"/>
          <w:shd w:val="clear" w:color="auto" w:fill="FFFFFF"/>
        </w:rPr>
      </w:pPr>
      <w:r w:rsidRPr="00C640D6">
        <w:rPr>
          <w:rFonts w:cs="Times New Roman"/>
          <w:color w:val="333333"/>
          <w:shd w:val="clear" w:color="auto" w:fill="FFFFFF"/>
        </w:rPr>
        <w:t xml:space="preserve">Surber, R., </w:t>
      </w:r>
      <w:proofErr w:type="spellStart"/>
      <w:r w:rsidRPr="00C640D6">
        <w:rPr>
          <w:rFonts w:cs="Times New Roman"/>
          <w:color w:val="333333"/>
          <w:shd w:val="clear" w:color="auto" w:fill="FFFFFF"/>
        </w:rPr>
        <w:t>Sigusch</w:t>
      </w:r>
      <w:proofErr w:type="spellEnd"/>
      <w:r w:rsidRPr="00C640D6">
        <w:rPr>
          <w:rFonts w:cs="Times New Roman"/>
          <w:color w:val="333333"/>
          <w:shd w:val="clear" w:color="auto" w:fill="FFFFFF"/>
        </w:rPr>
        <w:t xml:space="preserve">, H., </w:t>
      </w:r>
      <w:proofErr w:type="spellStart"/>
      <w:r w:rsidRPr="00C640D6">
        <w:rPr>
          <w:rFonts w:cs="Times New Roman"/>
          <w:color w:val="333333"/>
          <w:shd w:val="clear" w:color="auto" w:fill="FFFFFF"/>
        </w:rPr>
        <w:t>Kuehnert</w:t>
      </w:r>
      <w:proofErr w:type="spellEnd"/>
      <w:r w:rsidRPr="00C640D6">
        <w:rPr>
          <w:rFonts w:cs="Times New Roman"/>
          <w:color w:val="333333"/>
          <w:shd w:val="clear" w:color="auto" w:fill="FFFFFF"/>
        </w:rPr>
        <w:t xml:space="preserve">, H., &amp; </w:t>
      </w:r>
      <w:proofErr w:type="spellStart"/>
      <w:r w:rsidRPr="00C640D6">
        <w:rPr>
          <w:rFonts w:cs="Times New Roman"/>
          <w:color w:val="333333"/>
          <w:shd w:val="clear" w:color="auto" w:fill="FFFFFF"/>
        </w:rPr>
        <w:t>Figulla</w:t>
      </w:r>
      <w:proofErr w:type="spellEnd"/>
      <w:r w:rsidRPr="00C640D6">
        <w:rPr>
          <w:rFonts w:cs="Times New Roman"/>
          <w:color w:val="333333"/>
          <w:shd w:val="clear" w:color="auto" w:fill="FFFFFF"/>
        </w:rPr>
        <w:t xml:space="preserve">, H. (2003). </w:t>
      </w:r>
      <w:proofErr w:type="spellStart"/>
      <w:r w:rsidRPr="00C640D6">
        <w:rPr>
          <w:rFonts w:cs="Times New Roman"/>
          <w:color w:val="333333"/>
          <w:shd w:val="clear" w:color="auto" w:fill="FFFFFF"/>
        </w:rPr>
        <w:t>Haemochromatosis</w:t>
      </w:r>
      <w:proofErr w:type="spellEnd"/>
      <w:r w:rsidRPr="00C640D6">
        <w:rPr>
          <w:rFonts w:cs="Times New Roman"/>
          <w:color w:val="333333"/>
          <w:shd w:val="clear" w:color="auto" w:fill="FFFFFF"/>
        </w:rPr>
        <w:t xml:space="preserve"> (HFE) gene </w:t>
      </w:r>
    </w:p>
    <w:p w14:paraId="64778ACC" w14:textId="0A4741DD" w:rsidR="00B21FA5" w:rsidRPr="00F8118D" w:rsidRDefault="00B21FA5" w:rsidP="00B21FA5">
      <w:pPr>
        <w:ind w:left="720"/>
        <w:rPr>
          <w:rFonts w:cs="Times New Roman"/>
        </w:rPr>
      </w:pPr>
      <w:r w:rsidRPr="00C640D6">
        <w:rPr>
          <w:rFonts w:cs="Times New Roman"/>
          <w:color w:val="333333"/>
          <w:shd w:val="clear" w:color="auto" w:fill="FFFFFF"/>
        </w:rPr>
        <w:t>C282Y mutation and the risk of coronary artery disease and myocardial infarction: a study in 1279 patients undergoing coronary angiography.  </w:t>
      </w:r>
      <w:proofErr w:type="gramStart"/>
      <w:r w:rsidRPr="00C640D6">
        <w:rPr>
          <w:rFonts w:cs="Times New Roman"/>
          <w:i/>
          <w:iCs/>
          <w:color w:val="333333"/>
          <w:shd w:val="clear" w:color="auto" w:fill="FFFFFF"/>
        </w:rPr>
        <w:t>Journal of Medical Genetics</w:t>
      </w:r>
      <w:r w:rsidRPr="00C640D6">
        <w:rPr>
          <w:rFonts w:cs="Times New Roman"/>
          <w:color w:val="333333"/>
          <w:shd w:val="clear" w:color="auto" w:fill="FFFFFF"/>
        </w:rPr>
        <w:t xml:space="preserve">, </w:t>
      </w:r>
      <w:r w:rsidRPr="00F8118D">
        <w:rPr>
          <w:rFonts w:cs="Times New Roman"/>
          <w:shd w:val="clear" w:color="auto" w:fill="FFFFFF"/>
        </w:rPr>
        <w:t>40(5).</w:t>
      </w:r>
      <w:proofErr w:type="gramEnd"/>
      <w:r w:rsidRPr="00F8118D">
        <w:rPr>
          <w:rFonts w:cs="Times New Roman"/>
          <w:shd w:val="clear" w:color="auto" w:fill="FFFFFF"/>
        </w:rPr>
        <w:t xml:space="preserve"> </w:t>
      </w:r>
      <w:proofErr w:type="spellStart"/>
      <w:proofErr w:type="gramStart"/>
      <w:r w:rsidRPr="00F8118D">
        <w:rPr>
          <w:rFonts w:cs="Times New Roman"/>
          <w:shd w:val="clear" w:color="auto" w:fill="FFFFFF"/>
        </w:rPr>
        <w:t>doi</w:t>
      </w:r>
      <w:proofErr w:type="spellEnd"/>
      <w:proofErr w:type="gramEnd"/>
      <w:r w:rsidRPr="00F8118D">
        <w:rPr>
          <w:rFonts w:cs="Times New Roman"/>
          <w:shd w:val="clear" w:color="auto" w:fill="FFFFFF"/>
        </w:rPr>
        <w:t xml:space="preserve">: </w:t>
      </w:r>
      <w:hyperlink r:id="rId11" w:history="1">
        <w:r w:rsidRPr="00F8118D">
          <w:rPr>
            <w:rFonts w:cs="Times New Roman"/>
            <w:u w:val="single"/>
            <w:shd w:val="clear" w:color="auto" w:fill="FFFFFF"/>
          </w:rPr>
          <w:t>10.1136/jmg.40.5.e58</w:t>
        </w:r>
      </w:hyperlink>
    </w:p>
    <w:p w14:paraId="6AB67A5F" w14:textId="77777777" w:rsidR="00B21FA5" w:rsidRPr="00F8118D" w:rsidRDefault="00B21FA5" w:rsidP="00B21FA5">
      <w:pPr>
        <w:rPr>
          <w:rFonts w:cs="Times New Roman"/>
          <w:shd w:val="clear" w:color="auto" w:fill="FFFFFF"/>
        </w:rPr>
      </w:pPr>
      <w:r w:rsidRPr="00F8118D">
        <w:rPr>
          <w:rFonts w:cs="Times New Roman"/>
          <w:shd w:val="clear" w:color="auto" w:fill="FFFFFF"/>
        </w:rPr>
        <w:t xml:space="preserve">Wapnick, A., Lynch, S., </w:t>
      </w:r>
      <w:proofErr w:type="spellStart"/>
      <w:r w:rsidRPr="00F8118D">
        <w:rPr>
          <w:rFonts w:cs="Times New Roman"/>
          <w:shd w:val="clear" w:color="auto" w:fill="FFFFFF"/>
        </w:rPr>
        <w:t>Krawitz</w:t>
      </w:r>
      <w:proofErr w:type="spellEnd"/>
      <w:r w:rsidRPr="00F8118D">
        <w:rPr>
          <w:rFonts w:cs="Times New Roman"/>
          <w:shd w:val="clear" w:color="auto" w:fill="FFFFFF"/>
        </w:rPr>
        <w:t xml:space="preserve">, P., </w:t>
      </w:r>
      <w:proofErr w:type="spellStart"/>
      <w:r w:rsidRPr="00F8118D">
        <w:rPr>
          <w:rFonts w:cs="Times New Roman"/>
          <w:shd w:val="clear" w:color="auto" w:fill="FFFFFF"/>
        </w:rPr>
        <w:t>Seftel</w:t>
      </w:r>
      <w:proofErr w:type="spellEnd"/>
      <w:r w:rsidRPr="00F8118D">
        <w:rPr>
          <w:rFonts w:cs="Times New Roman"/>
          <w:shd w:val="clear" w:color="auto" w:fill="FFFFFF"/>
        </w:rPr>
        <w:t xml:space="preserve">, H., Charlton, R, &amp; </w:t>
      </w:r>
      <w:proofErr w:type="spellStart"/>
      <w:r w:rsidRPr="00F8118D">
        <w:rPr>
          <w:rFonts w:cs="Times New Roman"/>
          <w:shd w:val="clear" w:color="auto" w:fill="FFFFFF"/>
        </w:rPr>
        <w:t>Bothwell</w:t>
      </w:r>
      <w:proofErr w:type="spellEnd"/>
      <w:r w:rsidRPr="00F8118D">
        <w:rPr>
          <w:rFonts w:cs="Times New Roman"/>
          <w:shd w:val="clear" w:color="auto" w:fill="FFFFFF"/>
        </w:rPr>
        <w:t xml:space="preserve">, T. (1968). Effects of </w:t>
      </w:r>
    </w:p>
    <w:p w14:paraId="5914A0C1" w14:textId="22E2EF11" w:rsidR="00B21FA5" w:rsidRPr="00F8118D" w:rsidRDefault="00B21FA5" w:rsidP="00B21FA5">
      <w:pPr>
        <w:ind w:left="720"/>
        <w:rPr>
          <w:rFonts w:cs="Times New Roman"/>
          <w:shd w:val="clear" w:color="auto" w:fill="FFFFFF"/>
        </w:rPr>
      </w:pPr>
      <w:proofErr w:type="gramStart"/>
      <w:r w:rsidRPr="00F8118D">
        <w:rPr>
          <w:rFonts w:cs="Times New Roman"/>
          <w:shd w:val="clear" w:color="auto" w:fill="FFFFFF"/>
        </w:rPr>
        <w:t>Iron Overload on Ascorbic Acid Metabolism.</w:t>
      </w:r>
      <w:proofErr w:type="gramEnd"/>
      <w:r w:rsidRPr="00F8118D">
        <w:rPr>
          <w:rFonts w:cs="Times New Roman"/>
          <w:shd w:val="clear" w:color="auto" w:fill="FFFFFF"/>
        </w:rPr>
        <w:t xml:space="preserve"> </w:t>
      </w:r>
      <w:proofErr w:type="gramStart"/>
      <w:r w:rsidRPr="00F8118D">
        <w:rPr>
          <w:rFonts w:cs="Times New Roman"/>
          <w:i/>
          <w:iCs/>
          <w:shd w:val="clear" w:color="auto" w:fill="FFFFFF"/>
        </w:rPr>
        <w:t>British Medical Journal,</w:t>
      </w:r>
      <w:r w:rsidRPr="00F8118D">
        <w:rPr>
          <w:rFonts w:cs="Times New Roman"/>
          <w:shd w:val="clear" w:color="auto" w:fill="FFFFFF"/>
        </w:rPr>
        <w:t xml:space="preserve"> 3(5620), 704-707.</w:t>
      </w:r>
      <w:proofErr w:type="gramEnd"/>
      <w:r w:rsidRPr="00F8118D">
        <w:rPr>
          <w:rFonts w:cs="Times New Roman"/>
          <w:shd w:val="clear" w:color="auto" w:fill="FFFFFF"/>
        </w:rPr>
        <w:t xml:space="preserve"> </w:t>
      </w:r>
      <w:hyperlink r:id="rId12" w:history="1">
        <w:r w:rsidR="00BE4854" w:rsidRPr="00F8118D">
          <w:rPr>
            <w:rStyle w:val="Hyperlink"/>
            <w:rFonts w:cs="Times New Roman"/>
            <w:color w:val="auto"/>
            <w:shd w:val="clear" w:color="auto" w:fill="FFFFFF"/>
          </w:rPr>
          <w:t>https://www.jstor.org/stable/20394087</w:t>
        </w:r>
      </w:hyperlink>
    </w:p>
    <w:p w14:paraId="76FA2F6C" w14:textId="5F708CE6" w:rsidR="00BE4854" w:rsidRPr="00F8118D" w:rsidRDefault="00BE4854" w:rsidP="00BE4854">
      <w:pPr>
        <w:rPr>
          <w:rFonts w:eastAsia="Times New Roman" w:cs="Times New Roman"/>
        </w:rPr>
      </w:pPr>
      <w:proofErr w:type="spellStart"/>
      <w:r w:rsidRPr="00F8118D">
        <w:rPr>
          <w:rFonts w:cs="Times New Roman"/>
          <w:shd w:val="clear" w:color="auto" w:fill="FFFFFF"/>
        </w:rPr>
        <w:t>Yadav</w:t>
      </w:r>
      <w:proofErr w:type="spellEnd"/>
      <w:r w:rsidRPr="00F8118D">
        <w:rPr>
          <w:rFonts w:cs="Times New Roman"/>
          <w:shd w:val="clear" w:color="auto" w:fill="FFFFFF"/>
        </w:rPr>
        <w:t xml:space="preserve">, S, &amp; </w:t>
      </w:r>
      <w:proofErr w:type="spellStart"/>
      <w:r w:rsidRPr="00F8118D">
        <w:rPr>
          <w:rFonts w:cs="Times New Roman"/>
          <w:shd w:val="clear" w:color="auto" w:fill="FFFFFF"/>
        </w:rPr>
        <w:t>Sehgal</w:t>
      </w:r>
      <w:proofErr w:type="spellEnd"/>
      <w:r w:rsidRPr="00F8118D">
        <w:rPr>
          <w:rFonts w:cs="Times New Roman"/>
          <w:shd w:val="clear" w:color="auto" w:fill="FFFFFF"/>
        </w:rPr>
        <w:t>, S</w:t>
      </w:r>
      <w:proofErr w:type="gramStart"/>
      <w:r w:rsidRPr="00F8118D">
        <w:rPr>
          <w:rFonts w:cs="Times New Roman"/>
          <w:shd w:val="clear" w:color="auto" w:fill="FFFFFF"/>
        </w:rPr>
        <w:t>..</w:t>
      </w:r>
      <w:proofErr w:type="gramEnd"/>
      <w:r w:rsidRPr="00F8118D">
        <w:rPr>
          <w:rFonts w:cs="Times New Roman"/>
          <w:shd w:val="clear" w:color="auto" w:fill="FFFFFF"/>
        </w:rPr>
        <w:t xml:space="preserve"> (1995)</w:t>
      </w:r>
      <w:proofErr w:type="gramStart"/>
      <w:r w:rsidRPr="00F8118D">
        <w:rPr>
          <w:rFonts w:cs="Times New Roman"/>
          <w:shd w:val="clear" w:color="auto" w:fill="FFFFFF"/>
        </w:rPr>
        <w:t>.  Effect of home processing on ascorbic acid and beta-carotene content of spinach and amaranth leaves.</w:t>
      </w:r>
      <w:proofErr w:type="gramEnd"/>
      <w:r w:rsidRPr="00F8118D">
        <w:rPr>
          <w:rFonts w:cs="Times New Roman"/>
          <w:shd w:val="clear" w:color="auto" w:fill="FFFFFF"/>
        </w:rPr>
        <w:t xml:space="preserve"> </w:t>
      </w:r>
      <w:proofErr w:type="gramStart"/>
      <w:r w:rsidRPr="00F8118D">
        <w:rPr>
          <w:rFonts w:cs="Times New Roman"/>
          <w:i/>
          <w:shd w:val="clear" w:color="auto" w:fill="FFFFFF"/>
        </w:rPr>
        <w:t>Plant Foods for Human Nutrition</w:t>
      </w:r>
      <w:r w:rsidRPr="00F8118D">
        <w:rPr>
          <w:rFonts w:cs="Times New Roman"/>
          <w:shd w:val="clear" w:color="auto" w:fill="FFFFFF"/>
        </w:rPr>
        <w:t>.</w:t>
      </w:r>
      <w:proofErr w:type="gramEnd"/>
      <w:r w:rsidRPr="00F8118D">
        <w:rPr>
          <w:rFonts w:cs="Times New Roman"/>
          <w:shd w:val="clear" w:color="auto" w:fill="FFFFFF"/>
        </w:rPr>
        <w:t xml:space="preserve"> </w:t>
      </w:r>
      <w:proofErr w:type="gramStart"/>
      <w:r w:rsidRPr="00F8118D">
        <w:rPr>
          <w:rFonts w:cs="Times New Roman"/>
          <w:shd w:val="clear" w:color="auto" w:fill="FFFFFF"/>
        </w:rPr>
        <w:t>47</w:t>
      </w:r>
      <w:r w:rsidR="009E4E36" w:rsidRPr="00F8118D">
        <w:rPr>
          <w:rFonts w:cs="Times New Roman"/>
          <w:shd w:val="clear" w:color="auto" w:fill="FFFFFF"/>
        </w:rPr>
        <w:t>(2)</w:t>
      </w:r>
      <w:r w:rsidRPr="00F8118D">
        <w:rPr>
          <w:rFonts w:cs="Times New Roman"/>
          <w:shd w:val="clear" w:color="auto" w:fill="FFFFFF"/>
        </w:rPr>
        <w:t>, 125-131.</w:t>
      </w:r>
      <w:proofErr w:type="gramEnd"/>
      <w:r w:rsidR="00F8118D" w:rsidRPr="00F8118D">
        <w:rPr>
          <w:rFonts w:cs="Times New Roman"/>
          <w:shd w:val="clear" w:color="auto" w:fill="FFFFFF"/>
        </w:rPr>
        <w:t xml:space="preserve"> </w:t>
      </w:r>
      <w:proofErr w:type="spellStart"/>
      <w:proofErr w:type="gramStart"/>
      <w:r w:rsidR="00F8118D" w:rsidRPr="00F8118D">
        <w:rPr>
          <w:rFonts w:cs="Times New Roman"/>
          <w:shd w:val="clear" w:color="auto" w:fill="FFFFFF"/>
        </w:rPr>
        <w:t>doi</w:t>
      </w:r>
      <w:proofErr w:type="spellEnd"/>
      <w:proofErr w:type="gramEnd"/>
      <w:r w:rsidR="00F8118D" w:rsidRPr="00F8118D">
        <w:rPr>
          <w:rFonts w:cs="Times New Roman"/>
          <w:shd w:val="clear" w:color="auto" w:fill="FFFFFF"/>
        </w:rPr>
        <w:t>:</w:t>
      </w:r>
      <w:r w:rsidR="00F8118D" w:rsidRPr="00F8118D">
        <w:rPr>
          <w:rFonts w:eastAsia="Times New Roman" w:cs="Times New Roman"/>
          <w:shd w:val="clear" w:color="auto" w:fill="FFFFFF"/>
        </w:rPr>
        <w:t xml:space="preserve"> 10.1007/BF01089261</w:t>
      </w:r>
    </w:p>
    <w:p w14:paraId="5EBB7235" w14:textId="4F9B2525" w:rsidR="00BA0C3D" w:rsidRDefault="00BA0C3D" w:rsidP="00381A81">
      <w:pPr>
        <w:jc w:val="center"/>
        <w:rPr>
          <w:rFonts w:cs="Times New Roman"/>
        </w:rPr>
      </w:pPr>
      <w:bookmarkStart w:id="0" w:name="_GoBack"/>
      <w:bookmarkEnd w:id="0"/>
      <w:r>
        <w:rPr>
          <w:rFonts w:cs="Times New Roman"/>
        </w:rPr>
        <w:br w:type="page"/>
      </w:r>
      <w:r w:rsidR="00381A81">
        <w:rPr>
          <w:rFonts w:cs="Times New Roman"/>
        </w:rPr>
        <w:t>Budget</w:t>
      </w:r>
    </w:p>
    <w:p w14:paraId="5A52AA91" w14:textId="77777777" w:rsidR="00852EC8" w:rsidRDefault="00852EC8" w:rsidP="00852EC8">
      <w:pPr>
        <w:rPr>
          <w:rFonts w:cs="Times New Roman"/>
        </w:rPr>
      </w:pPr>
    </w:p>
    <w:p w14:paraId="30666C3F" w14:textId="77777777" w:rsidR="00852EC8" w:rsidRPr="0057073C" w:rsidRDefault="00852EC8" w:rsidP="00852EC8">
      <w:pPr>
        <w:rPr>
          <w:rFonts w:cs="Times New Roman"/>
          <w:b/>
        </w:rPr>
      </w:pPr>
      <w:r w:rsidRPr="0057073C">
        <w:rPr>
          <w:rFonts w:cs="Times New Roman"/>
          <w:b/>
        </w:rPr>
        <w:t>EXPENSES</w:t>
      </w:r>
    </w:p>
    <w:p w14:paraId="6453721E" w14:textId="77777777" w:rsidR="00852EC8" w:rsidRDefault="00852EC8" w:rsidP="00852EC8">
      <w:pPr>
        <w:rPr>
          <w:rFonts w:cs="Times New Roman"/>
        </w:rPr>
      </w:pPr>
      <w:r w:rsidRPr="0057073C">
        <w:rPr>
          <w:rFonts w:cs="Times New Roman"/>
          <w:b/>
        </w:rPr>
        <w:t>Materials</w:t>
      </w:r>
    </w:p>
    <w:p w14:paraId="704DE2CE" w14:textId="77777777" w:rsidR="00852EC8" w:rsidRDefault="00852EC8" w:rsidP="00852EC8">
      <w:pPr>
        <w:rPr>
          <w:rFonts w:cs="Times New Roman"/>
        </w:rPr>
      </w:pPr>
      <w:r>
        <w:rPr>
          <w:rFonts w:cs="Times New Roman"/>
        </w:rPr>
        <w:t xml:space="preserve">Stipend for Participants </w:t>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t xml:space="preserve">  </w:t>
      </w:r>
      <w:r>
        <w:rPr>
          <w:rFonts w:cs="Times New Roman"/>
          <w:b/>
        </w:rPr>
        <w:t>$30</w:t>
      </w:r>
      <w:r w:rsidRPr="00EC190A">
        <w:rPr>
          <w:rFonts w:cs="Times New Roman"/>
          <w:b/>
        </w:rPr>
        <w:t>00</w:t>
      </w:r>
    </w:p>
    <w:p w14:paraId="7702E6FA" w14:textId="77777777" w:rsidR="00852EC8" w:rsidRDefault="00852EC8" w:rsidP="00852EC8">
      <w:pPr>
        <w:ind w:left="720"/>
        <w:rPr>
          <w:rFonts w:cs="Times New Roman"/>
        </w:rPr>
      </w:pPr>
      <w:r>
        <w:rPr>
          <w:rFonts w:cs="Times New Roman"/>
        </w:rPr>
        <w:t>Participants will be provided with a $100 stipend for their participation in the study.  This will cover transportation costs to and from the lab on the first and final days of the study, as well as any labor required in the spinach production.  There are three experimental treatment groups, and each will have 10 participants assigned to it randomly.  Therefore, there will be 30 total participants.</w:t>
      </w:r>
    </w:p>
    <w:p w14:paraId="4564059F" w14:textId="77777777" w:rsidR="00852EC8" w:rsidRDefault="00852EC8" w:rsidP="00852EC8">
      <w:pPr>
        <w:rPr>
          <w:rFonts w:cs="Times New Roman"/>
        </w:rPr>
      </w:pPr>
      <w:r>
        <w:rPr>
          <w:rFonts w:cs="Times New Roman"/>
        </w:rPr>
        <w:t xml:space="preserve">Lab Tests </w:t>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t xml:space="preserve">  </w:t>
      </w:r>
      <w:r w:rsidRPr="00891760">
        <w:rPr>
          <w:rFonts w:cs="Times New Roman"/>
          <w:b/>
        </w:rPr>
        <w:t>$8280</w:t>
      </w:r>
    </w:p>
    <w:p w14:paraId="293887E5" w14:textId="77777777" w:rsidR="00852EC8" w:rsidRDefault="00852EC8" w:rsidP="00852EC8">
      <w:pPr>
        <w:ind w:left="720"/>
        <w:rPr>
          <w:rFonts w:cs="Times New Roman"/>
        </w:rPr>
      </w:pPr>
      <w:r>
        <w:rPr>
          <w:rFonts w:cs="Times New Roman"/>
        </w:rPr>
        <w:t xml:space="preserve">Lab tests will be ordered online for each patient, and then performed at a nearby </w:t>
      </w:r>
      <w:proofErr w:type="spellStart"/>
      <w:r>
        <w:rPr>
          <w:rFonts w:cs="Times New Roman"/>
        </w:rPr>
        <w:t>LabCorp</w:t>
      </w:r>
      <w:proofErr w:type="spellEnd"/>
      <w:r>
        <w:rPr>
          <w:rFonts w:cs="Times New Roman"/>
        </w:rPr>
        <w:t xml:space="preserve"> location (12555 W Jefferson Blvd).  Serum Iron Tests are $23 each, and Oxalate Urine Tests are $115 each.  Each participant will undergo each test twice.</w:t>
      </w:r>
    </w:p>
    <w:p w14:paraId="78C21B94" w14:textId="77777777" w:rsidR="00852EC8" w:rsidRDefault="00852EC8" w:rsidP="00852EC8">
      <w:pPr>
        <w:rPr>
          <w:rFonts w:cs="Times New Roman"/>
        </w:rPr>
      </w:pPr>
      <w:r>
        <w:rPr>
          <w:rFonts w:cs="Times New Roman"/>
        </w:rPr>
        <w:t xml:space="preserve">Spinach </w:t>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t xml:space="preserve">           </w:t>
      </w:r>
      <w:r w:rsidRPr="00EC190A">
        <w:rPr>
          <w:rFonts w:cs="Times New Roman"/>
          <w:b/>
        </w:rPr>
        <w:t>$1</w:t>
      </w:r>
      <w:r>
        <w:rPr>
          <w:rFonts w:cs="Times New Roman"/>
          <w:b/>
        </w:rPr>
        <w:t>95.46</w:t>
      </w:r>
    </w:p>
    <w:p w14:paraId="49A8F03B" w14:textId="77777777" w:rsidR="00852EC8" w:rsidRPr="00891760" w:rsidRDefault="00852EC8" w:rsidP="00852EC8">
      <w:pPr>
        <w:ind w:left="720"/>
        <w:rPr>
          <w:rFonts w:cs="Times New Roman"/>
        </w:rPr>
      </w:pPr>
      <w:r>
        <w:rPr>
          <w:rFonts w:cs="Times New Roman"/>
        </w:rPr>
        <w:t xml:space="preserve">Spinach will be provided to the participants at the beginning of the one-week trial period to control for type of spinach.  One hundred gram servings will be pre-divided into individual Ziploc bags to control for amount of spinach.  Each participant requires seven hundred grams of spinach, so </w:t>
      </w:r>
      <w:proofErr w:type="gramStart"/>
      <w:r>
        <w:rPr>
          <w:rFonts w:cs="Times New Roman"/>
        </w:rPr>
        <w:t>twenty-one-thousand</w:t>
      </w:r>
      <w:proofErr w:type="gramEnd"/>
      <w:r>
        <w:rPr>
          <w:rFonts w:cs="Times New Roman"/>
        </w:rPr>
        <w:t xml:space="preserve"> grams of spinach are needed in total.  This is the equivalent of seventy-five ten-ounce bags of spinach from </w:t>
      </w:r>
      <w:proofErr w:type="spellStart"/>
      <w:r>
        <w:rPr>
          <w:rFonts w:cs="Times New Roman"/>
        </w:rPr>
        <w:t>Walmart</w:t>
      </w:r>
      <w:proofErr w:type="spellEnd"/>
      <w:r>
        <w:rPr>
          <w:rFonts w:cs="Times New Roman"/>
        </w:rPr>
        <w:t xml:space="preserve">.  These are available for $2.38 with 9.5% sales tax.  </w:t>
      </w:r>
    </w:p>
    <w:p w14:paraId="7114DDD3" w14:textId="77777777" w:rsidR="00852EC8" w:rsidRDefault="00852EC8" w:rsidP="00852EC8">
      <w:pPr>
        <w:rPr>
          <w:rFonts w:cs="Times New Roman"/>
        </w:rPr>
      </w:pPr>
      <w:r w:rsidRPr="000D6079">
        <w:rPr>
          <w:rFonts w:cs="Times New Roman"/>
        </w:rPr>
        <w:t>Ziploc Gallon Bags</w:t>
      </w:r>
      <w:r>
        <w:rPr>
          <w:rFonts w:cs="Times New Roman"/>
        </w:rPr>
        <w:t xml:space="preserve"> </w:t>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t xml:space="preserve"> </w:t>
      </w:r>
      <w:r w:rsidRPr="00891760">
        <w:rPr>
          <w:rFonts w:cs="Times New Roman"/>
          <w:b/>
        </w:rPr>
        <w:t>$31.47</w:t>
      </w:r>
    </w:p>
    <w:p w14:paraId="488ED20D" w14:textId="77777777" w:rsidR="00852EC8" w:rsidRDefault="00852EC8" w:rsidP="00852EC8">
      <w:pPr>
        <w:ind w:left="720"/>
        <w:rPr>
          <w:rFonts w:cs="Times New Roman"/>
        </w:rPr>
      </w:pPr>
      <w:r>
        <w:rPr>
          <w:rFonts w:cs="Times New Roman"/>
        </w:rPr>
        <w:t xml:space="preserve">Ziploc bags will be used to divide one hundred gram spinach servings for participant use.  Each participant will need seven bags, so two hundred and ten bags are needed in total.  Bags are available for $4.79 per </w:t>
      </w:r>
      <w:proofErr w:type="gramStart"/>
      <w:r>
        <w:rPr>
          <w:rFonts w:cs="Times New Roman"/>
        </w:rPr>
        <w:t>thirty eight</w:t>
      </w:r>
      <w:proofErr w:type="gramEnd"/>
      <w:r>
        <w:rPr>
          <w:rFonts w:cs="Times New Roman"/>
        </w:rPr>
        <w:t xml:space="preserve"> bags at Target, with 9.5% sales tax.</w:t>
      </w:r>
    </w:p>
    <w:p w14:paraId="2A1D13DE" w14:textId="77777777" w:rsidR="00852EC8" w:rsidRDefault="00852EC8" w:rsidP="00852EC8">
      <w:pPr>
        <w:rPr>
          <w:rFonts w:cs="Times New Roman"/>
          <w:b/>
        </w:rPr>
      </w:pPr>
    </w:p>
    <w:p w14:paraId="388FE8A4" w14:textId="77777777" w:rsidR="00852EC8" w:rsidRPr="00891760" w:rsidRDefault="00852EC8" w:rsidP="00852EC8">
      <w:pPr>
        <w:rPr>
          <w:rFonts w:cs="Times New Roman"/>
          <w:b/>
        </w:rPr>
      </w:pPr>
      <w:r w:rsidRPr="00891760">
        <w:rPr>
          <w:rFonts w:cs="Times New Roman"/>
          <w:b/>
        </w:rPr>
        <w:t>TOTAL</w:t>
      </w:r>
      <w:r>
        <w:rPr>
          <w:rFonts w:cs="Times New Roman"/>
          <w:b/>
        </w:rPr>
        <w:t xml:space="preserve"> </w:t>
      </w:r>
      <w:r>
        <w:rPr>
          <w:rFonts w:cs="Times New Roman"/>
          <w:b/>
        </w:rPr>
        <w:tab/>
      </w:r>
      <w:r>
        <w:rPr>
          <w:rFonts w:cs="Times New Roman"/>
          <w:b/>
        </w:rPr>
        <w:tab/>
      </w:r>
      <w:r>
        <w:rPr>
          <w:rFonts w:cs="Times New Roman"/>
          <w:b/>
        </w:rPr>
        <w:tab/>
      </w:r>
      <w:r>
        <w:rPr>
          <w:rFonts w:cs="Times New Roman"/>
          <w:b/>
        </w:rPr>
        <w:tab/>
      </w:r>
      <w:r>
        <w:rPr>
          <w:rFonts w:cs="Times New Roman"/>
          <w:b/>
        </w:rPr>
        <w:tab/>
      </w:r>
      <w:r>
        <w:rPr>
          <w:rFonts w:cs="Times New Roman"/>
          <w:b/>
        </w:rPr>
        <w:tab/>
      </w:r>
      <w:r>
        <w:rPr>
          <w:rFonts w:cs="Times New Roman"/>
          <w:b/>
        </w:rPr>
        <w:tab/>
      </w:r>
      <w:r>
        <w:rPr>
          <w:rFonts w:cs="Times New Roman"/>
          <w:b/>
        </w:rPr>
        <w:tab/>
      </w:r>
      <w:r>
        <w:rPr>
          <w:rFonts w:cs="Times New Roman"/>
          <w:b/>
        </w:rPr>
        <w:tab/>
      </w:r>
      <w:r>
        <w:rPr>
          <w:rFonts w:cs="Times New Roman"/>
          <w:b/>
        </w:rPr>
        <w:tab/>
        <w:t xml:space="preserve">      </w:t>
      </w:r>
      <w:r w:rsidRPr="0066657D">
        <w:rPr>
          <w:rFonts w:cs="Times New Roman"/>
          <w:b/>
        </w:rPr>
        <w:t>$11,506.93</w:t>
      </w:r>
    </w:p>
    <w:p w14:paraId="1C785680" w14:textId="77777777" w:rsidR="00381A81" w:rsidRDefault="00381A81" w:rsidP="00381A81">
      <w:pPr>
        <w:rPr>
          <w:rFonts w:cs="Times New Roman"/>
        </w:rPr>
      </w:pPr>
    </w:p>
    <w:sectPr w:rsidR="00381A81" w:rsidSect="005763F0">
      <w:headerReference w:type="defaul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BBCDF3" w14:textId="77777777" w:rsidR="00381A81" w:rsidRDefault="00381A81" w:rsidP="00E922F3">
      <w:r>
        <w:separator/>
      </w:r>
    </w:p>
  </w:endnote>
  <w:endnote w:type="continuationSeparator" w:id="0">
    <w:p w14:paraId="36DF3E7A" w14:textId="77777777" w:rsidR="00381A81" w:rsidRDefault="00381A81" w:rsidP="00E92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27B188" w14:textId="77777777" w:rsidR="00381A81" w:rsidRDefault="00381A81" w:rsidP="00E922F3">
      <w:r>
        <w:separator/>
      </w:r>
    </w:p>
  </w:footnote>
  <w:footnote w:type="continuationSeparator" w:id="0">
    <w:p w14:paraId="77C5E5C0" w14:textId="77777777" w:rsidR="00381A81" w:rsidRDefault="00381A81" w:rsidP="00E922F3">
      <w:r>
        <w:continuationSeparator/>
      </w:r>
    </w:p>
  </w:footnote>
  <w:footnote w:id="1">
    <w:p w14:paraId="5A5591E9" w14:textId="4DC1503E" w:rsidR="00381A81" w:rsidRPr="00A07A13" w:rsidRDefault="00381A81">
      <w:pPr>
        <w:pStyle w:val="FootnoteText"/>
        <w:rPr>
          <w:sz w:val="20"/>
          <w:szCs w:val="20"/>
        </w:rPr>
      </w:pPr>
      <w:r w:rsidRPr="00A07A13">
        <w:rPr>
          <w:rStyle w:val="FootnoteReference"/>
          <w:sz w:val="20"/>
          <w:szCs w:val="20"/>
        </w:rPr>
        <w:footnoteRef/>
      </w:r>
      <w:r w:rsidRPr="00A07A13">
        <w:rPr>
          <w:sz w:val="20"/>
          <w:szCs w:val="20"/>
        </w:rPr>
        <w:t xml:space="preserve"> Wapnick 705, Adams 3</w:t>
      </w:r>
      <w:r>
        <w:rPr>
          <w:sz w:val="20"/>
          <w:szCs w:val="20"/>
        </w:rPr>
        <w:t>.</w:t>
      </w:r>
    </w:p>
  </w:footnote>
  <w:footnote w:id="2">
    <w:p w14:paraId="618D2E55" w14:textId="0C30375D" w:rsidR="00381A81" w:rsidRPr="00A07A13" w:rsidRDefault="00381A81">
      <w:pPr>
        <w:pStyle w:val="FootnoteText"/>
        <w:rPr>
          <w:sz w:val="20"/>
          <w:szCs w:val="20"/>
        </w:rPr>
      </w:pPr>
      <w:r w:rsidRPr="00A07A13">
        <w:rPr>
          <w:rStyle w:val="FootnoteReference"/>
          <w:sz w:val="20"/>
          <w:szCs w:val="20"/>
        </w:rPr>
        <w:footnoteRef/>
      </w:r>
      <w:r w:rsidRPr="00A07A13">
        <w:rPr>
          <w:sz w:val="20"/>
          <w:szCs w:val="20"/>
        </w:rPr>
        <w:t xml:space="preserve"> Surber 1, Adams 2</w:t>
      </w:r>
      <w:r>
        <w:rPr>
          <w:sz w:val="20"/>
          <w:szCs w:val="20"/>
        </w:rPr>
        <w:t>.</w:t>
      </w:r>
    </w:p>
  </w:footnote>
  <w:footnote w:id="3">
    <w:p w14:paraId="51037DAA" w14:textId="30C8A049" w:rsidR="00381A81" w:rsidRPr="00A07A13" w:rsidRDefault="00381A81">
      <w:pPr>
        <w:pStyle w:val="FootnoteText"/>
        <w:rPr>
          <w:sz w:val="20"/>
          <w:szCs w:val="20"/>
        </w:rPr>
      </w:pPr>
      <w:r w:rsidRPr="00A07A13">
        <w:rPr>
          <w:rStyle w:val="FootnoteReference"/>
          <w:sz w:val="20"/>
          <w:szCs w:val="20"/>
        </w:rPr>
        <w:footnoteRef/>
      </w:r>
      <w:r w:rsidRPr="00A07A13">
        <w:rPr>
          <w:sz w:val="20"/>
          <w:szCs w:val="20"/>
        </w:rPr>
        <w:t xml:space="preserve"> Wapnick 705, Surber 1</w:t>
      </w:r>
      <w:r>
        <w:rPr>
          <w:sz w:val="20"/>
          <w:szCs w:val="20"/>
        </w:rPr>
        <w:t>.</w:t>
      </w:r>
    </w:p>
  </w:footnote>
  <w:footnote w:id="4">
    <w:p w14:paraId="12024470" w14:textId="778894CC" w:rsidR="00381A81" w:rsidRPr="00A07A13" w:rsidRDefault="00381A81" w:rsidP="00C526AB">
      <w:pPr>
        <w:pStyle w:val="FootnoteText"/>
        <w:rPr>
          <w:sz w:val="20"/>
          <w:szCs w:val="20"/>
        </w:rPr>
      </w:pPr>
      <w:r w:rsidRPr="00A07A13">
        <w:rPr>
          <w:rStyle w:val="FootnoteReference"/>
          <w:sz w:val="20"/>
          <w:szCs w:val="20"/>
        </w:rPr>
        <w:footnoteRef/>
      </w:r>
      <w:r w:rsidRPr="00A07A13">
        <w:rPr>
          <w:sz w:val="20"/>
          <w:szCs w:val="20"/>
        </w:rPr>
        <w:t xml:space="preserve"> Aranda</w:t>
      </w:r>
      <w:r>
        <w:rPr>
          <w:sz w:val="20"/>
          <w:szCs w:val="20"/>
        </w:rPr>
        <w:t xml:space="preserve"> 768.</w:t>
      </w:r>
    </w:p>
  </w:footnote>
  <w:footnote w:id="5">
    <w:p w14:paraId="06385A46" w14:textId="3F9CA591" w:rsidR="00381A81" w:rsidRPr="00A07A13" w:rsidRDefault="00381A81" w:rsidP="002C7FDA">
      <w:pPr>
        <w:pStyle w:val="FootnoteText"/>
        <w:tabs>
          <w:tab w:val="left" w:pos="5220"/>
        </w:tabs>
        <w:rPr>
          <w:sz w:val="20"/>
          <w:szCs w:val="20"/>
        </w:rPr>
      </w:pPr>
      <w:r w:rsidRPr="00A07A13">
        <w:rPr>
          <w:rStyle w:val="FootnoteReference"/>
          <w:sz w:val="20"/>
          <w:szCs w:val="20"/>
        </w:rPr>
        <w:footnoteRef/>
      </w:r>
      <w:r w:rsidRPr="00A07A13">
        <w:rPr>
          <w:sz w:val="20"/>
          <w:szCs w:val="20"/>
        </w:rPr>
        <w:t xml:space="preserve"> Surber</w:t>
      </w:r>
      <w:r>
        <w:rPr>
          <w:sz w:val="20"/>
          <w:szCs w:val="20"/>
        </w:rPr>
        <w:t xml:space="preserve"> 1</w:t>
      </w:r>
      <w:r w:rsidRPr="00A07A13">
        <w:rPr>
          <w:sz w:val="20"/>
          <w:szCs w:val="20"/>
        </w:rPr>
        <w:t>, Aranda</w:t>
      </w:r>
      <w:r>
        <w:rPr>
          <w:sz w:val="20"/>
          <w:szCs w:val="20"/>
        </w:rPr>
        <w:t xml:space="preserve"> 768.</w:t>
      </w:r>
    </w:p>
  </w:footnote>
  <w:footnote w:id="6">
    <w:p w14:paraId="2FDB070A" w14:textId="7B3F1F31" w:rsidR="00381A81" w:rsidRPr="00A07A13" w:rsidRDefault="00381A81">
      <w:pPr>
        <w:pStyle w:val="FootnoteText"/>
        <w:rPr>
          <w:sz w:val="20"/>
          <w:szCs w:val="20"/>
        </w:rPr>
      </w:pPr>
      <w:r w:rsidRPr="00A07A13">
        <w:rPr>
          <w:rStyle w:val="FootnoteReference"/>
          <w:sz w:val="20"/>
          <w:szCs w:val="20"/>
        </w:rPr>
        <w:footnoteRef/>
      </w:r>
      <w:r w:rsidRPr="00A07A13">
        <w:rPr>
          <w:sz w:val="20"/>
          <w:szCs w:val="20"/>
        </w:rPr>
        <w:t xml:space="preserve"> Adams</w:t>
      </w:r>
      <w:r>
        <w:rPr>
          <w:sz w:val="20"/>
          <w:szCs w:val="20"/>
        </w:rPr>
        <w:t xml:space="preserve"> 3</w:t>
      </w:r>
      <w:r w:rsidRPr="00A07A13">
        <w:rPr>
          <w:sz w:val="20"/>
          <w:szCs w:val="20"/>
        </w:rPr>
        <w:t>, McCune</w:t>
      </w:r>
      <w:r>
        <w:rPr>
          <w:sz w:val="20"/>
          <w:szCs w:val="20"/>
        </w:rPr>
        <w:t xml:space="preserve"> 526.</w:t>
      </w:r>
    </w:p>
  </w:footnote>
  <w:footnote w:id="7">
    <w:p w14:paraId="2E013ED6" w14:textId="548130EF" w:rsidR="00381A81" w:rsidRPr="00A07A13" w:rsidRDefault="00381A81">
      <w:pPr>
        <w:pStyle w:val="FootnoteText"/>
        <w:rPr>
          <w:sz w:val="20"/>
          <w:szCs w:val="20"/>
        </w:rPr>
      </w:pPr>
      <w:r w:rsidRPr="00A07A13">
        <w:rPr>
          <w:rStyle w:val="FootnoteReference"/>
          <w:sz w:val="20"/>
          <w:szCs w:val="20"/>
        </w:rPr>
        <w:footnoteRef/>
      </w:r>
      <w:r w:rsidRPr="00A07A13">
        <w:rPr>
          <w:sz w:val="20"/>
          <w:szCs w:val="20"/>
        </w:rPr>
        <w:t xml:space="preserve"> McCune</w:t>
      </w:r>
      <w:r>
        <w:rPr>
          <w:sz w:val="20"/>
          <w:szCs w:val="20"/>
        </w:rPr>
        <w:t xml:space="preserve"> 526.</w:t>
      </w:r>
    </w:p>
  </w:footnote>
  <w:footnote w:id="8">
    <w:p w14:paraId="6F254D45" w14:textId="10A12F5D" w:rsidR="00381A81" w:rsidRPr="00A07A13" w:rsidRDefault="00381A81">
      <w:pPr>
        <w:pStyle w:val="FootnoteText"/>
        <w:rPr>
          <w:sz w:val="20"/>
          <w:szCs w:val="20"/>
        </w:rPr>
      </w:pPr>
      <w:r w:rsidRPr="00A07A13">
        <w:rPr>
          <w:rStyle w:val="FootnoteReference"/>
          <w:sz w:val="20"/>
          <w:szCs w:val="20"/>
        </w:rPr>
        <w:footnoteRef/>
      </w:r>
      <w:r w:rsidRPr="00A07A13">
        <w:rPr>
          <w:sz w:val="20"/>
          <w:szCs w:val="20"/>
        </w:rPr>
        <w:t xml:space="preserve"> </w:t>
      </w:r>
      <w:r>
        <w:rPr>
          <w:sz w:val="20"/>
          <w:szCs w:val="20"/>
        </w:rPr>
        <w:t>Ibid. 526.</w:t>
      </w:r>
    </w:p>
  </w:footnote>
  <w:footnote w:id="9">
    <w:p w14:paraId="3CDA72D2" w14:textId="212AF41F" w:rsidR="00381A81" w:rsidRPr="00A07A13" w:rsidRDefault="00381A81">
      <w:pPr>
        <w:pStyle w:val="FootnoteText"/>
        <w:rPr>
          <w:sz w:val="20"/>
          <w:szCs w:val="20"/>
        </w:rPr>
      </w:pPr>
      <w:r w:rsidRPr="00A07A13">
        <w:rPr>
          <w:rStyle w:val="FootnoteReference"/>
          <w:sz w:val="20"/>
          <w:szCs w:val="20"/>
        </w:rPr>
        <w:footnoteRef/>
      </w:r>
      <w:r w:rsidRPr="00A07A13">
        <w:rPr>
          <w:sz w:val="20"/>
          <w:szCs w:val="20"/>
        </w:rPr>
        <w:t xml:space="preserve"> Surber</w:t>
      </w:r>
      <w:r>
        <w:rPr>
          <w:sz w:val="20"/>
          <w:szCs w:val="20"/>
        </w:rPr>
        <w:t xml:space="preserve"> 1.</w:t>
      </w:r>
    </w:p>
  </w:footnote>
  <w:footnote w:id="10">
    <w:p w14:paraId="6D3E5F11" w14:textId="2FA67D8A" w:rsidR="00381A81" w:rsidRPr="00A07A13" w:rsidRDefault="00381A81">
      <w:pPr>
        <w:pStyle w:val="FootnoteText"/>
        <w:rPr>
          <w:sz w:val="20"/>
          <w:szCs w:val="20"/>
        </w:rPr>
      </w:pPr>
      <w:r w:rsidRPr="00A07A13">
        <w:rPr>
          <w:rStyle w:val="FootnoteReference"/>
          <w:sz w:val="20"/>
          <w:szCs w:val="20"/>
        </w:rPr>
        <w:footnoteRef/>
      </w:r>
      <w:r w:rsidRPr="00A07A13">
        <w:rPr>
          <w:sz w:val="20"/>
          <w:szCs w:val="20"/>
        </w:rPr>
        <w:t xml:space="preserve"> Naugler</w:t>
      </w:r>
      <w:r>
        <w:rPr>
          <w:sz w:val="20"/>
          <w:szCs w:val="20"/>
        </w:rPr>
        <w:t xml:space="preserve"> 691.</w:t>
      </w:r>
    </w:p>
  </w:footnote>
  <w:footnote w:id="11">
    <w:p w14:paraId="3E25831F" w14:textId="006B4E46" w:rsidR="00381A81" w:rsidRPr="00A07A13" w:rsidRDefault="00381A81">
      <w:pPr>
        <w:pStyle w:val="FootnoteText"/>
        <w:rPr>
          <w:sz w:val="20"/>
          <w:szCs w:val="20"/>
        </w:rPr>
      </w:pPr>
      <w:r w:rsidRPr="00A07A13">
        <w:rPr>
          <w:rStyle w:val="FootnoteReference"/>
          <w:sz w:val="20"/>
          <w:szCs w:val="20"/>
        </w:rPr>
        <w:footnoteRef/>
      </w:r>
      <w:r w:rsidRPr="00A07A13">
        <w:rPr>
          <w:sz w:val="20"/>
          <w:szCs w:val="20"/>
        </w:rPr>
        <w:t xml:space="preserve"> Olsson</w:t>
      </w:r>
      <w:r>
        <w:rPr>
          <w:sz w:val="20"/>
          <w:szCs w:val="20"/>
        </w:rPr>
        <w:t xml:space="preserve"> 782.</w:t>
      </w:r>
    </w:p>
  </w:footnote>
  <w:footnote w:id="12">
    <w:p w14:paraId="45B2DC5E" w14:textId="59F75456" w:rsidR="00381A81" w:rsidRPr="00A07A13" w:rsidRDefault="00381A81">
      <w:pPr>
        <w:pStyle w:val="FootnoteText"/>
        <w:rPr>
          <w:sz w:val="20"/>
          <w:szCs w:val="20"/>
        </w:rPr>
      </w:pPr>
      <w:r w:rsidRPr="00A07A13">
        <w:rPr>
          <w:rStyle w:val="FootnoteReference"/>
          <w:sz w:val="20"/>
          <w:szCs w:val="20"/>
        </w:rPr>
        <w:footnoteRef/>
      </w:r>
      <w:r>
        <w:rPr>
          <w:sz w:val="20"/>
          <w:szCs w:val="20"/>
        </w:rPr>
        <w:t xml:space="preserve"> Naugler 691.</w:t>
      </w:r>
    </w:p>
  </w:footnote>
  <w:footnote w:id="13">
    <w:p w14:paraId="638BED1C" w14:textId="7B4D27A8" w:rsidR="00381A81" w:rsidRPr="00A07A13" w:rsidRDefault="00381A81">
      <w:pPr>
        <w:pStyle w:val="FootnoteText"/>
        <w:rPr>
          <w:sz w:val="20"/>
          <w:szCs w:val="20"/>
        </w:rPr>
      </w:pPr>
      <w:r w:rsidRPr="00A07A13">
        <w:rPr>
          <w:rStyle w:val="FootnoteReference"/>
          <w:sz w:val="20"/>
          <w:szCs w:val="20"/>
        </w:rPr>
        <w:footnoteRef/>
      </w:r>
      <w:r w:rsidRPr="00A07A13">
        <w:rPr>
          <w:sz w:val="20"/>
          <w:szCs w:val="20"/>
        </w:rPr>
        <w:t xml:space="preserve"> Surber</w:t>
      </w:r>
      <w:r>
        <w:rPr>
          <w:sz w:val="20"/>
          <w:szCs w:val="20"/>
        </w:rPr>
        <w:t xml:space="preserve"> 1.</w:t>
      </w:r>
    </w:p>
  </w:footnote>
  <w:footnote w:id="14">
    <w:p w14:paraId="767DF92C" w14:textId="70A1692F" w:rsidR="00381A81" w:rsidRPr="00A07A13" w:rsidRDefault="00381A81">
      <w:pPr>
        <w:pStyle w:val="FootnoteText"/>
        <w:rPr>
          <w:sz w:val="20"/>
          <w:szCs w:val="20"/>
        </w:rPr>
      </w:pPr>
      <w:r w:rsidRPr="00A07A13">
        <w:rPr>
          <w:rStyle w:val="FootnoteReference"/>
          <w:sz w:val="20"/>
          <w:szCs w:val="20"/>
        </w:rPr>
        <w:footnoteRef/>
      </w:r>
      <w:r w:rsidRPr="00A07A13">
        <w:rPr>
          <w:sz w:val="20"/>
          <w:szCs w:val="20"/>
        </w:rPr>
        <w:t xml:space="preserve"> Aranda</w:t>
      </w:r>
      <w:r>
        <w:rPr>
          <w:sz w:val="20"/>
          <w:szCs w:val="20"/>
        </w:rPr>
        <w:t xml:space="preserve"> 768.</w:t>
      </w:r>
    </w:p>
  </w:footnote>
  <w:footnote w:id="15">
    <w:p w14:paraId="5D454E2E" w14:textId="2C2A5F94" w:rsidR="00381A81" w:rsidRPr="00A07A13" w:rsidRDefault="00381A81">
      <w:pPr>
        <w:pStyle w:val="FootnoteText"/>
        <w:rPr>
          <w:sz w:val="20"/>
          <w:szCs w:val="20"/>
        </w:rPr>
      </w:pPr>
      <w:r w:rsidRPr="00A07A13">
        <w:rPr>
          <w:rStyle w:val="FootnoteReference"/>
          <w:sz w:val="20"/>
          <w:szCs w:val="20"/>
        </w:rPr>
        <w:footnoteRef/>
      </w:r>
      <w:r w:rsidRPr="00A07A13">
        <w:rPr>
          <w:sz w:val="20"/>
          <w:szCs w:val="20"/>
        </w:rPr>
        <w:t xml:space="preserve"> Adams</w:t>
      </w:r>
      <w:r>
        <w:rPr>
          <w:sz w:val="20"/>
          <w:szCs w:val="20"/>
        </w:rPr>
        <w:t xml:space="preserve"> 2.</w:t>
      </w:r>
    </w:p>
  </w:footnote>
  <w:footnote w:id="16">
    <w:p w14:paraId="38C255CF" w14:textId="1C6EB183" w:rsidR="00381A81" w:rsidRPr="00A07A13" w:rsidRDefault="00381A81">
      <w:pPr>
        <w:pStyle w:val="FootnoteText"/>
        <w:rPr>
          <w:sz w:val="20"/>
          <w:szCs w:val="20"/>
        </w:rPr>
      </w:pPr>
      <w:r w:rsidRPr="00A07A13">
        <w:rPr>
          <w:rStyle w:val="FootnoteReference"/>
          <w:sz w:val="20"/>
          <w:szCs w:val="20"/>
        </w:rPr>
        <w:footnoteRef/>
      </w:r>
      <w:r w:rsidRPr="00A07A13">
        <w:rPr>
          <w:sz w:val="20"/>
          <w:szCs w:val="20"/>
        </w:rPr>
        <w:t xml:space="preserve"> </w:t>
      </w:r>
      <w:r>
        <w:rPr>
          <w:sz w:val="20"/>
          <w:szCs w:val="20"/>
        </w:rPr>
        <w:t>Ibid. 8.</w:t>
      </w:r>
    </w:p>
  </w:footnote>
  <w:footnote w:id="17">
    <w:p w14:paraId="6A6105CE" w14:textId="5D24B64B" w:rsidR="00381A81" w:rsidRPr="00A07A13" w:rsidRDefault="00381A81">
      <w:pPr>
        <w:pStyle w:val="FootnoteText"/>
        <w:rPr>
          <w:sz w:val="20"/>
          <w:szCs w:val="20"/>
        </w:rPr>
      </w:pPr>
      <w:r w:rsidRPr="00A07A13">
        <w:rPr>
          <w:rStyle w:val="FootnoteReference"/>
          <w:sz w:val="20"/>
          <w:szCs w:val="20"/>
        </w:rPr>
        <w:footnoteRef/>
      </w:r>
      <w:r>
        <w:rPr>
          <w:sz w:val="20"/>
          <w:szCs w:val="20"/>
        </w:rPr>
        <w:t xml:space="preserve"> Ibid. 3.</w:t>
      </w:r>
    </w:p>
  </w:footnote>
  <w:footnote w:id="18">
    <w:p w14:paraId="59EC9697" w14:textId="756A3128" w:rsidR="00381A81" w:rsidRPr="00A07A13" w:rsidRDefault="00381A81">
      <w:pPr>
        <w:pStyle w:val="FootnoteText"/>
        <w:rPr>
          <w:sz w:val="20"/>
          <w:szCs w:val="20"/>
        </w:rPr>
      </w:pPr>
      <w:r w:rsidRPr="00A07A13">
        <w:rPr>
          <w:rStyle w:val="FootnoteReference"/>
          <w:sz w:val="20"/>
          <w:szCs w:val="20"/>
        </w:rPr>
        <w:footnoteRef/>
      </w:r>
      <w:r w:rsidRPr="00A07A13">
        <w:rPr>
          <w:sz w:val="20"/>
          <w:szCs w:val="20"/>
        </w:rPr>
        <w:t xml:space="preserve"> </w:t>
      </w:r>
      <w:r>
        <w:rPr>
          <w:sz w:val="20"/>
          <w:szCs w:val="20"/>
        </w:rPr>
        <w:t>Ibid.</w:t>
      </w:r>
      <w:r w:rsidRPr="00A07A13">
        <w:rPr>
          <w:sz w:val="20"/>
          <w:szCs w:val="20"/>
        </w:rPr>
        <w:t xml:space="preserve"> 9</w:t>
      </w:r>
      <w:r>
        <w:rPr>
          <w:sz w:val="20"/>
          <w:szCs w:val="20"/>
        </w:rPr>
        <w:t>.</w:t>
      </w:r>
    </w:p>
  </w:footnote>
  <w:footnote w:id="19">
    <w:p w14:paraId="4AB03A90" w14:textId="4270C32D" w:rsidR="00381A81" w:rsidRPr="00A07A13" w:rsidRDefault="00381A81">
      <w:pPr>
        <w:pStyle w:val="FootnoteText"/>
        <w:rPr>
          <w:sz w:val="20"/>
          <w:szCs w:val="20"/>
        </w:rPr>
      </w:pPr>
      <w:r w:rsidRPr="00A07A13">
        <w:rPr>
          <w:rStyle w:val="FootnoteReference"/>
          <w:sz w:val="20"/>
          <w:szCs w:val="20"/>
        </w:rPr>
        <w:footnoteRef/>
      </w:r>
      <w:r w:rsidRPr="00A07A13">
        <w:rPr>
          <w:sz w:val="20"/>
          <w:szCs w:val="20"/>
        </w:rPr>
        <w:t xml:space="preserve"> </w:t>
      </w:r>
      <w:r>
        <w:rPr>
          <w:sz w:val="20"/>
          <w:szCs w:val="20"/>
        </w:rPr>
        <w:t>Ibid. 3.</w:t>
      </w:r>
    </w:p>
  </w:footnote>
  <w:footnote w:id="20">
    <w:p w14:paraId="6510F9E4" w14:textId="3D82380D" w:rsidR="00381A81" w:rsidRPr="00A07A13" w:rsidRDefault="00381A81">
      <w:pPr>
        <w:pStyle w:val="FootnoteText"/>
        <w:rPr>
          <w:sz w:val="20"/>
          <w:szCs w:val="20"/>
        </w:rPr>
      </w:pPr>
      <w:r w:rsidRPr="00A07A13">
        <w:rPr>
          <w:rStyle w:val="FootnoteReference"/>
          <w:sz w:val="20"/>
          <w:szCs w:val="20"/>
        </w:rPr>
        <w:footnoteRef/>
      </w:r>
      <w:r>
        <w:rPr>
          <w:sz w:val="20"/>
          <w:szCs w:val="20"/>
        </w:rPr>
        <w:t xml:space="preserve"> Ibid. 13.</w:t>
      </w:r>
    </w:p>
  </w:footnote>
  <w:footnote w:id="21">
    <w:p w14:paraId="7A11F76D" w14:textId="64F66B63" w:rsidR="00381A81" w:rsidRPr="00A07A13" w:rsidRDefault="00381A81">
      <w:pPr>
        <w:pStyle w:val="FootnoteText"/>
        <w:rPr>
          <w:sz w:val="20"/>
          <w:szCs w:val="20"/>
        </w:rPr>
      </w:pPr>
      <w:r w:rsidRPr="00A07A13">
        <w:rPr>
          <w:rStyle w:val="FootnoteReference"/>
          <w:sz w:val="20"/>
          <w:szCs w:val="20"/>
        </w:rPr>
        <w:footnoteRef/>
      </w:r>
      <w:r w:rsidRPr="00A07A13">
        <w:rPr>
          <w:sz w:val="20"/>
          <w:szCs w:val="20"/>
        </w:rPr>
        <w:t xml:space="preserve"> Adams</w:t>
      </w:r>
      <w:r>
        <w:rPr>
          <w:sz w:val="20"/>
          <w:szCs w:val="20"/>
        </w:rPr>
        <w:t xml:space="preserve"> 13</w:t>
      </w:r>
      <w:r w:rsidRPr="00A07A13">
        <w:rPr>
          <w:sz w:val="20"/>
          <w:szCs w:val="20"/>
        </w:rPr>
        <w:t>, McCune</w:t>
      </w:r>
      <w:r>
        <w:rPr>
          <w:sz w:val="20"/>
          <w:szCs w:val="20"/>
        </w:rPr>
        <w:t xml:space="preserve"> 527.</w:t>
      </w:r>
    </w:p>
  </w:footnote>
  <w:footnote w:id="22">
    <w:p w14:paraId="7A9F6551" w14:textId="4B0DA16B" w:rsidR="00381A81" w:rsidRPr="00A07A13" w:rsidRDefault="00381A81">
      <w:pPr>
        <w:pStyle w:val="FootnoteText"/>
        <w:rPr>
          <w:sz w:val="20"/>
          <w:szCs w:val="20"/>
        </w:rPr>
      </w:pPr>
      <w:r w:rsidRPr="00A07A13">
        <w:rPr>
          <w:rStyle w:val="FootnoteReference"/>
          <w:sz w:val="20"/>
          <w:szCs w:val="20"/>
        </w:rPr>
        <w:footnoteRef/>
      </w:r>
      <w:r w:rsidRPr="00A07A13">
        <w:rPr>
          <w:sz w:val="20"/>
          <w:szCs w:val="20"/>
        </w:rPr>
        <w:t xml:space="preserve"> Adams 16</w:t>
      </w:r>
      <w:r>
        <w:rPr>
          <w:sz w:val="20"/>
          <w:szCs w:val="20"/>
        </w:rPr>
        <w:t>.</w:t>
      </w:r>
    </w:p>
  </w:footnote>
  <w:footnote w:id="23">
    <w:p w14:paraId="46DCBCDA" w14:textId="091378CA" w:rsidR="00381A81" w:rsidRPr="00A07A13" w:rsidRDefault="00381A81">
      <w:pPr>
        <w:pStyle w:val="FootnoteText"/>
        <w:rPr>
          <w:sz w:val="20"/>
          <w:szCs w:val="20"/>
        </w:rPr>
      </w:pPr>
      <w:r w:rsidRPr="00A07A13">
        <w:rPr>
          <w:rStyle w:val="FootnoteReference"/>
          <w:sz w:val="20"/>
          <w:szCs w:val="20"/>
        </w:rPr>
        <w:footnoteRef/>
      </w:r>
      <w:r w:rsidRPr="00A07A13">
        <w:rPr>
          <w:sz w:val="20"/>
          <w:szCs w:val="20"/>
        </w:rPr>
        <w:t xml:space="preserve"> McCune</w:t>
      </w:r>
      <w:r>
        <w:rPr>
          <w:sz w:val="20"/>
          <w:szCs w:val="20"/>
        </w:rPr>
        <w:t xml:space="preserve"> 527.</w:t>
      </w:r>
    </w:p>
  </w:footnote>
  <w:footnote w:id="24">
    <w:p w14:paraId="00A3FC6D" w14:textId="004F9BAA" w:rsidR="00381A81" w:rsidRPr="00A07A13" w:rsidRDefault="00381A81">
      <w:pPr>
        <w:pStyle w:val="FootnoteText"/>
        <w:rPr>
          <w:sz w:val="20"/>
          <w:szCs w:val="20"/>
        </w:rPr>
      </w:pPr>
      <w:r w:rsidRPr="00A07A13">
        <w:rPr>
          <w:rStyle w:val="FootnoteReference"/>
          <w:sz w:val="20"/>
          <w:szCs w:val="20"/>
        </w:rPr>
        <w:footnoteRef/>
      </w:r>
      <w:r w:rsidRPr="00A07A13">
        <w:rPr>
          <w:sz w:val="20"/>
          <w:szCs w:val="20"/>
        </w:rPr>
        <w:t xml:space="preserve"> </w:t>
      </w:r>
      <w:r>
        <w:rPr>
          <w:sz w:val="20"/>
          <w:szCs w:val="20"/>
        </w:rPr>
        <w:t>Adams 18.</w:t>
      </w:r>
    </w:p>
  </w:footnote>
  <w:footnote w:id="25">
    <w:p w14:paraId="792EE603" w14:textId="0D99B2EB" w:rsidR="00381A81" w:rsidRPr="00A07A13" w:rsidRDefault="00381A81">
      <w:pPr>
        <w:pStyle w:val="FootnoteText"/>
        <w:rPr>
          <w:sz w:val="20"/>
          <w:szCs w:val="20"/>
        </w:rPr>
      </w:pPr>
      <w:r w:rsidRPr="00A07A13">
        <w:rPr>
          <w:rStyle w:val="FootnoteReference"/>
          <w:sz w:val="20"/>
          <w:szCs w:val="20"/>
        </w:rPr>
        <w:footnoteRef/>
      </w:r>
      <w:r>
        <w:rPr>
          <w:sz w:val="20"/>
          <w:szCs w:val="20"/>
        </w:rPr>
        <w:t>Iron-Rich Foods</w:t>
      </w:r>
      <w:r w:rsidRPr="00A07A13">
        <w:rPr>
          <w:sz w:val="20"/>
          <w:szCs w:val="20"/>
        </w:rPr>
        <w:t>, Adams 19</w:t>
      </w:r>
      <w:r>
        <w:rPr>
          <w:sz w:val="20"/>
          <w:szCs w:val="20"/>
        </w:rPr>
        <w:t>.</w:t>
      </w:r>
    </w:p>
  </w:footnote>
  <w:footnote w:id="26">
    <w:p w14:paraId="7E8AE2F2" w14:textId="6E9F59BE" w:rsidR="00381A81" w:rsidRPr="00A07A13" w:rsidRDefault="00381A81">
      <w:pPr>
        <w:pStyle w:val="FootnoteText"/>
        <w:rPr>
          <w:sz w:val="20"/>
          <w:szCs w:val="20"/>
        </w:rPr>
      </w:pPr>
      <w:r w:rsidRPr="00A07A13">
        <w:rPr>
          <w:rStyle w:val="FootnoteReference"/>
          <w:sz w:val="20"/>
          <w:szCs w:val="20"/>
        </w:rPr>
        <w:footnoteRef/>
      </w:r>
      <w:r w:rsidRPr="00A07A13">
        <w:rPr>
          <w:sz w:val="20"/>
          <w:szCs w:val="20"/>
        </w:rPr>
        <w:t xml:space="preserve"> Adams 20-22, Herbert 1995</w:t>
      </w:r>
      <w:r>
        <w:rPr>
          <w:sz w:val="20"/>
          <w:szCs w:val="20"/>
        </w:rPr>
        <w:t>.</w:t>
      </w:r>
    </w:p>
  </w:footnote>
  <w:footnote w:id="27">
    <w:p w14:paraId="5FE229A0" w14:textId="6810FBF8" w:rsidR="00381A81" w:rsidRPr="00A07A13" w:rsidRDefault="00381A81">
      <w:pPr>
        <w:pStyle w:val="FootnoteText"/>
        <w:rPr>
          <w:sz w:val="20"/>
          <w:szCs w:val="20"/>
        </w:rPr>
      </w:pPr>
      <w:r w:rsidRPr="00A07A13">
        <w:rPr>
          <w:rStyle w:val="FootnoteReference"/>
          <w:sz w:val="20"/>
          <w:szCs w:val="20"/>
        </w:rPr>
        <w:footnoteRef/>
      </w:r>
      <w:r w:rsidRPr="00A07A13">
        <w:rPr>
          <w:sz w:val="20"/>
          <w:szCs w:val="20"/>
        </w:rPr>
        <w:t xml:space="preserve"> Adam</w:t>
      </w:r>
      <w:r>
        <w:rPr>
          <w:sz w:val="20"/>
          <w:szCs w:val="20"/>
        </w:rPr>
        <w:t xml:space="preserve">s 22, </w:t>
      </w:r>
      <w:proofErr w:type="spellStart"/>
      <w:r>
        <w:rPr>
          <w:sz w:val="20"/>
          <w:szCs w:val="20"/>
        </w:rPr>
        <w:t>Hallberg</w:t>
      </w:r>
      <w:proofErr w:type="spellEnd"/>
      <w:r>
        <w:rPr>
          <w:sz w:val="20"/>
          <w:szCs w:val="20"/>
        </w:rPr>
        <w:t xml:space="preserve"> 1987, Aranda</w:t>
      </w:r>
      <w:r w:rsidRPr="00A07A13">
        <w:rPr>
          <w:sz w:val="20"/>
          <w:szCs w:val="20"/>
        </w:rPr>
        <w:t xml:space="preserve"> 771</w:t>
      </w:r>
      <w:r>
        <w:rPr>
          <w:sz w:val="20"/>
          <w:szCs w:val="20"/>
        </w:rPr>
        <w:t>.</w:t>
      </w:r>
    </w:p>
  </w:footnote>
  <w:footnote w:id="28">
    <w:p w14:paraId="79EB7B14" w14:textId="74FB4EF5" w:rsidR="00381A81" w:rsidRPr="00A07A13" w:rsidRDefault="00381A81">
      <w:pPr>
        <w:pStyle w:val="FootnoteText"/>
        <w:rPr>
          <w:sz w:val="20"/>
          <w:szCs w:val="20"/>
        </w:rPr>
      </w:pPr>
      <w:r w:rsidRPr="00A07A13">
        <w:rPr>
          <w:rStyle w:val="FootnoteReference"/>
          <w:sz w:val="20"/>
          <w:szCs w:val="20"/>
        </w:rPr>
        <w:footnoteRef/>
      </w:r>
      <w:r w:rsidRPr="00A07A13">
        <w:rPr>
          <w:sz w:val="20"/>
          <w:szCs w:val="20"/>
        </w:rPr>
        <w:t xml:space="preserve"> Noonan</w:t>
      </w:r>
      <w:r>
        <w:rPr>
          <w:sz w:val="20"/>
          <w:szCs w:val="20"/>
        </w:rPr>
        <w:t xml:space="preserve"> 68.</w:t>
      </w:r>
    </w:p>
  </w:footnote>
  <w:footnote w:id="29">
    <w:p w14:paraId="71D0EF34" w14:textId="5A37E4C6" w:rsidR="00381A81" w:rsidRPr="00A07A13" w:rsidRDefault="00381A81">
      <w:pPr>
        <w:pStyle w:val="FootnoteText"/>
        <w:rPr>
          <w:sz w:val="20"/>
          <w:szCs w:val="20"/>
        </w:rPr>
      </w:pPr>
      <w:r w:rsidRPr="00A07A13">
        <w:rPr>
          <w:rStyle w:val="FootnoteReference"/>
          <w:sz w:val="20"/>
          <w:szCs w:val="20"/>
        </w:rPr>
        <w:footnoteRef/>
      </w:r>
      <w:r w:rsidRPr="00A07A13">
        <w:rPr>
          <w:sz w:val="20"/>
          <w:szCs w:val="20"/>
        </w:rPr>
        <w:t xml:space="preserve"> </w:t>
      </w:r>
      <w:r>
        <w:rPr>
          <w:sz w:val="20"/>
          <w:szCs w:val="20"/>
        </w:rPr>
        <w:t>Ibid. 66.</w:t>
      </w:r>
    </w:p>
  </w:footnote>
  <w:footnote w:id="30">
    <w:p w14:paraId="7D183CCF" w14:textId="00B2D3AC" w:rsidR="00381A81" w:rsidRPr="00A07A13" w:rsidRDefault="00381A81">
      <w:pPr>
        <w:pStyle w:val="FootnoteText"/>
        <w:rPr>
          <w:sz w:val="20"/>
          <w:szCs w:val="20"/>
        </w:rPr>
      </w:pPr>
      <w:r w:rsidRPr="00A07A13">
        <w:rPr>
          <w:rStyle w:val="FootnoteReference"/>
          <w:sz w:val="20"/>
          <w:szCs w:val="20"/>
        </w:rPr>
        <w:footnoteRef/>
      </w:r>
      <w:r w:rsidRPr="00A07A13">
        <w:rPr>
          <w:sz w:val="20"/>
          <w:szCs w:val="20"/>
        </w:rPr>
        <w:t xml:space="preserve"> </w:t>
      </w:r>
      <w:r>
        <w:rPr>
          <w:sz w:val="20"/>
          <w:szCs w:val="20"/>
        </w:rPr>
        <w:t>Ibid.</w:t>
      </w:r>
      <w:r w:rsidRPr="00A07A13">
        <w:rPr>
          <w:sz w:val="20"/>
          <w:szCs w:val="20"/>
        </w:rPr>
        <w:t xml:space="preserve"> 64</w:t>
      </w:r>
      <w:r>
        <w:rPr>
          <w:sz w:val="20"/>
          <w:szCs w:val="20"/>
        </w:rPr>
        <w:t>.</w:t>
      </w:r>
    </w:p>
  </w:footnote>
  <w:footnote w:id="31">
    <w:p w14:paraId="3BCCD5B9" w14:textId="3C3E7530" w:rsidR="00381A81" w:rsidRPr="00A07A13" w:rsidRDefault="00381A81">
      <w:pPr>
        <w:pStyle w:val="FootnoteText"/>
        <w:rPr>
          <w:sz w:val="20"/>
          <w:szCs w:val="20"/>
        </w:rPr>
      </w:pPr>
      <w:r w:rsidRPr="00A07A13">
        <w:rPr>
          <w:rStyle w:val="FootnoteReference"/>
          <w:sz w:val="20"/>
          <w:szCs w:val="20"/>
        </w:rPr>
        <w:footnoteRef/>
      </w:r>
      <w:r w:rsidRPr="00A07A13">
        <w:rPr>
          <w:sz w:val="20"/>
          <w:szCs w:val="20"/>
        </w:rPr>
        <w:t xml:space="preserve"> </w:t>
      </w:r>
      <w:proofErr w:type="spellStart"/>
      <w:r w:rsidRPr="00A07A13">
        <w:rPr>
          <w:rFonts w:cs="Times New Roman"/>
          <w:sz w:val="20"/>
          <w:szCs w:val="20"/>
        </w:rPr>
        <w:t>Yadav</w:t>
      </w:r>
      <w:proofErr w:type="spellEnd"/>
      <w:r w:rsidRPr="00A07A13">
        <w:rPr>
          <w:rFonts w:cs="Times New Roman"/>
          <w:sz w:val="20"/>
          <w:szCs w:val="20"/>
        </w:rPr>
        <w:t xml:space="preserve"> and </w:t>
      </w:r>
      <w:proofErr w:type="spellStart"/>
      <w:r w:rsidRPr="00A07A13">
        <w:rPr>
          <w:rFonts w:cs="Times New Roman"/>
          <w:sz w:val="20"/>
          <w:szCs w:val="20"/>
        </w:rPr>
        <w:t>Seghal</w:t>
      </w:r>
      <w:proofErr w:type="spellEnd"/>
      <w:r w:rsidRPr="00A07A13">
        <w:rPr>
          <w:rFonts w:cs="Times New Roman"/>
          <w:sz w:val="20"/>
          <w:szCs w:val="20"/>
        </w:rPr>
        <w:t xml:space="preserve"> 126</w:t>
      </w:r>
      <w:r>
        <w:rPr>
          <w:rFonts w:cs="Times New Roman"/>
          <w:sz w:val="20"/>
          <w:szCs w:val="20"/>
        </w:rPr>
        <w:t>.</w:t>
      </w:r>
    </w:p>
  </w:footnote>
  <w:footnote w:id="32">
    <w:p w14:paraId="7409D702" w14:textId="64724FE8" w:rsidR="00381A81" w:rsidRPr="00A07A13" w:rsidRDefault="00381A81">
      <w:pPr>
        <w:pStyle w:val="FootnoteText"/>
        <w:rPr>
          <w:sz w:val="20"/>
          <w:szCs w:val="20"/>
        </w:rPr>
      </w:pPr>
      <w:r w:rsidRPr="00A07A13">
        <w:rPr>
          <w:rStyle w:val="FootnoteReference"/>
          <w:sz w:val="20"/>
          <w:szCs w:val="20"/>
        </w:rPr>
        <w:footnoteRef/>
      </w:r>
      <w:r w:rsidRPr="00A07A13">
        <w:rPr>
          <w:sz w:val="20"/>
          <w:szCs w:val="20"/>
        </w:rPr>
        <w:t xml:space="preserve"> </w:t>
      </w:r>
      <w:r>
        <w:rPr>
          <w:sz w:val="20"/>
          <w:szCs w:val="20"/>
        </w:rPr>
        <w:t>Ibid. 126.</w:t>
      </w:r>
    </w:p>
  </w:footnote>
  <w:footnote w:id="33">
    <w:p w14:paraId="48268E86" w14:textId="43228B87" w:rsidR="00381A81" w:rsidRPr="00A07A13" w:rsidRDefault="00381A81">
      <w:pPr>
        <w:pStyle w:val="FootnoteText"/>
        <w:rPr>
          <w:sz w:val="20"/>
          <w:szCs w:val="20"/>
        </w:rPr>
      </w:pPr>
      <w:r w:rsidRPr="00A07A13">
        <w:rPr>
          <w:rStyle w:val="FootnoteReference"/>
          <w:sz w:val="20"/>
          <w:szCs w:val="20"/>
        </w:rPr>
        <w:footnoteRef/>
      </w:r>
      <w:r w:rsidRPr="00A07A13">
        <w:rPr>
          <w:sz w:val="20"/>
          <w:szCs w:val="20"/>
        </w:rPr>
        <w:t xml:space="preserve"> Aranda</w:t>
      </w:r>
      <w:r>
        <w:rPr>
          <w:sz w:val="20"/>
          <w:szCs w:val="20"/>
        </w:rPr>
        <w:t xml:space="preserve"> 768.</w:t>
      </w:r>
    </w:p>
  </w:footnote>
  <w:footnote w:id="34">
    <w:p w14:paraId="6396BCA4" w14:textId="0EC50620" w:rsidR="00381A81" w:rsidRPr="00A07A13" w:rsidRDefault="00381A81">
      <w:pPr>
        <w:pStyle w:val="FootnoteText"/>
        <w:rPr>
          <w:sz w:val="20"/>
          <w:szCs w:val="20"/>
        </w:rPr>
      </w:pPr>
      <w:r w:rsidRPr="00A07A13">
        <w:rPr>
          <w:rStyle w:val="FootnoteReference"/>
          <w:sz w:val="20"/>
          <w:szCs w:val="20"/>
        </w:rPr>
        <w:footnoteRef/>
      </w:r>
      <w:r w:rsidRPr="00A07A13">
        <w:rPr>
          <w:sz w:val="20"/>
          <w:szCs w:val="20"/>
        </w:rPr>
        <w:t xml:space="preserve"> </w:t>
      </w:r>
      <w:r>
        <w:rPr>
          <w:rFonts w:cs="Times New Roman"/>
          <w:sz w:val="20"/>
          <w:szCs w:val="20"/>
        </w:rPr>
        <w:t>Aranda 768</w:t>
      </w:r>
      <w:r w:rsidRPr="00A07A13">
        <w:rPr>
          <w:rFonts w:cs="Times New Roman"/>
          <w:sz w:val="20"/>
          <w:szCs w:val="20"/>
        </w:rPr>
        <w:t>, Wapnick 705</w:t>
      </w:r>
      <w:r>
        <w:rPr>
          <w:rFonts w:cs="Times New Roman"/>
          <w:sz w:val="20"/>
          <w:szCs w:val="20"/>
        </w:rPr>
        <w:t>, Serum Iron Test.</w:t>
      </w:r>
    </w:p>
  </w:footnote>
  <w:footnote w:id="35">
    <w:p w14:paraId="4DF6D3BE" w14:textId="1C2E62EA" w:rsidR="00381A81" w:rsidRPr="00A07A13" w:rsidRDefault="00381A81">
      <w:pPr>
        <w:pStyle w:val="FootnoteText"/>
        <w:rPr>
          <w:sz w:val="20"/>
          <w:szCs w:val="20"/>
        </w:rPr>
      </w:pPr>
      <w:r w:rsidRPr="00A07A13">
        <w:rPr>
          <w:rStyle w:val="FootnoteReference"/>
          <w:sz w:val="20"/>
          <w:szCs w:val="20"/>
        </w:rPr>
        <w:footnoteRef/>
      </w:r>
      <w:r w:rsidRPr="00A07A13">
        <w:rPr>
          <w:sz w:val="20"/>
          <w:szCs w:val="20"/>
        </w:rPr>
        <w:t xml:space="preserve"> </w:t>
      </w:r>
      <w:r>
        <w:rPr>
          <w:sz w:val="20"/>
          <w:szCs w:val="20"/>
        </w:rPr>
        <w:t>Oxalate Urine Test, Serum Iron Test.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2ACB7F" w14:textId="1A10BCA7" w:rsidR="00381A81" w:rsidRDefault="00381A81" w:rsidP="005763F0">
    <w:pPr>
      <w:pStyle w:val="Header"/>
      <w:jc w:val="right"/>
    </w:pPr>
    <w:r>
      <w:rPr>
        <w:rStyle w:val="PageNumber"/>
      </w:rPr>
      <w:fldChar w:fldCharType="begin"/>
    </w:r>
    <w:r>
      <w:rPr>
        <w:rStyle w:val="PageNumber"/>
      </w:rPr>
      <w:instrText xml:space="preserve"> PAGE </w:instrText>
    </w:r>
    <w:r>
      <w:rPr>
        <w:rStyle w:val="PageNumber"/>
      </w:rPr>
      <w:fldChar w:fldCharType="separate"/>
    </w:r>
    <w:r w:rsidR="00F8118D">
      <w:rPr>
        <w:rStyle w:val="PageNumber"/>
        <w:noProof/>
      </w:rPr>
      <w:t>5</w:t>
    </w:r>
    <w:r>
      <w:rPr>
        <w:rStyle w:val="PageNumber"/>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46A35"/>
    <w:multiLevelType w:val="hybridMultilevel"/>
    <w:tmpl w:val="8BA828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E627E"/>
    <w:multiLevelType w:val="hybridMultilevel"/>
    <w:tmpl w:val="B212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A51570"/>
    <w:multiLevelType w:val="hybridMultilevel"/>
    <w:tmpl w:val="062E4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A03C5C"/>
    <w:multiLevelType w:val="hybridMultilevel"/>
    <w:tmpl w:val="8BA828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3B5782"/>
    <w:multiLevelType w:val="hybridMultilevel"/>
    <w:tmpl w:val="062E4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DD48FD"/>
    <w:multiLevelType w:val="hybridMultilevel"/>
    <w:tmpl w:val="8BA828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2D377A"/>
    <w:multiLevelType w:val="hybridMultilevel"/>
    <w:tmpl w:val="8BA828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740D38"/>
    <w:multiLevelType w:val="hybridMultilevel"/>
    <w:tmpl w:val="8BA828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F3E51E5"/>
    <w:multiLevelType w:val="hybridMultilevel"/>
    <w:tmpl w:val="1756B4B0"/>
    <w:lvl w:ilvl="0" w:tplc="0409000F">
      <w:start w:val="1"/>
      <w:numFmt w:val="decimal"/>
      <w:lvlText w:val="%1."/>
      <w:lvlJc w:val="left"/>
      <w:pPr>
        <w:ind w:left="360" w:hanging="360"/>
      </w:pPr>
    </w:lvl>
    <w:lvl w:ilvl="1" w:tplc="04090019">
      <w:start w:val="1"/>
      <w:numFmt w:val="lowerLetter"/>
      <w:lvlText w:val="%2."/>
      <w:lvlJc w:val="left"/>
      <w:pPr>
        <w:ind w:left="450" w:hanging="360"/>
      </w:pPr>
    </w:lvl>
    <w:lvl w:ilvl="2" w:tplc="0409001B">
      <w:start w:val="1"/>
      <w:numFmt w:val="lowerRoman"/>
      <w:lvlText w:val="%3."/>
      <w:lvlJc w:val="right"/>
      <w:pPr>
        <w:ind w:left="1080" w:hanging="180"/>
      </w:pPr>
    </w:lvl>
    <w:lvl w:ilvl="3" w:tplc="0409000F">
      <w:start w:val="1"/>
      <w:numFmt w:val="decimal"/>
      <w:lvlText w:val="%4."/>
      <w:lvlJc w:val="left"/>
      <w:pPr>
        <w:ind w:left="1530" w:hanging="360"/>
      </w:pPr>
    </w:lvl>
    <w:lvl w:ilvl="4" w:tplc="04090019">
      <w:start w:val="1"/>
      <w:numFmt w:val="lowerLetter"/>
      <w:lvlText w:val="%5."/>
      <w:lvlJc w:val="left"/>
      <w:pPr>
        <w:ind w:left="1890" w:hanging="360"/>
      </w:pPr>
    </w:lvl>
    <w:lvl w:ilvl="5" w:tplc="0409001B">
      <w:start w:val="1"/>
      <w:numFmt w:val="lowerRoman"/>
      <w:lvlText w:val="%6."/>
      <w:lvlJc w:val="right"/>
      <w:pPr>
        <w:ind w:left="216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23C077E"/>
    <w:multiLevelType w:val="hybridMultilevel"/>
    <w:tmpl w:val="8BA828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3884BB8"/>
    <w:multiLevelType w:val="hybridMultilevel"/>
    <w:tmpl w:val="8BA828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953F80"/>
    <w:multiLevelType w:val="hybridMultilevel"/>
    <w:tmpl w:val="8BA828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06673EA"/>
    <w:multiLevelType w:val="hybridMultilevel"/>
    <w:tmpl w:val="356E2C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188710F"/>
    <w:multiLevelType w:val="hybridMultilevel"/>
    <w:tmpl w:val="8BA828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95D6C53"/>
    <w:multiLevelType w:val="hybridMultilevel"/>
    <w:tmpl w:val="8BA828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9733FFC"/>
    <w:multiLevelType w:val="hybridMultilevel"/>
    <w:tmpl w:val="E77E8E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20E429D"/>
    <w:multiLevelType w:val="hybridMultilevel"/>
    <w:tmpl w:val="1B0AD3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C38372C"/>
    <w:multiLevelType w:val="hybridMultilevel"/>
    <w:tmpl w:val="8BA828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6"/>
  </w:num>
  <w:num w:numId="3">
    <w:abstractNumId w:val="15"/>
  </w:num>
  <w:num w:numId="4">
    <w:abstractNumId w:val="1"/>
  </w:num>
  <w:num w:numId="5">
    <w:abstractNumId w:val="11"/>
  </w:num>
  <w:num w:numId="6">
    <w:abstractNumId w:val="13"/>
  </w:num>
  <w:num w:numId="7">
    <w:abstractNumId w:val="6"/>
  </w:num>
  <w:num w:numId="8">
    <w:abstractNumId w:val="10"/>
  </w:num>
  <w:num w:numId="9">
    <w:abstractNumId w:val="0"/>
  </w:num>
  <w:num w:numId="10">
    <w:abstractNumId w:val="17"/>
  </w:num>
  <w:num w:numId="11">
    <w:abstractNumId w:val="9"/>
  </w:num>
  <w:num w:numId="12">
    <w:abstractNumId w:val="3"/>
  </w:num>
  <w:num w:numId="13">
    <w:abstractNumId w:val="5"/>
  </w:num>
  <w:num w:numId="14">
    <w:abstractNumId w:val="7"/>
  </w:num>
  <w:num w:numId="15">
    <w:abstractNumId w:val="14"/>
  </w:num>
  <w:num w:numId="16">
    <w:abstractNumId w:val="4"/>
  </w:num>
  <w:num w:numId="17">
    <w:abstractNumId w:val="2"/>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2D3"/>
    <w:rsid w:val="00030589"/>
    <w:rsid w:val="000467BA"/>
    <w:rsid w:val="0007143F"/>
    <w:rsid w:val="00074C58"/>
    <w:rsid w:val="00080191"/>
    <w:rsid w:val="000901BC"/>
    <w:rsid w:val="000A372B"/>
    <w:rsid w:val="000D6079"/>
    <w:rsid w:val="0012276F"/>
    <w:rsid w:val="0017430B"/>
    <w:rsid w:val="001B026C"/>
    <w:rsid w:val="001C5FDB"/>
    <w:rsid w:val="00233198"/>
    <w:rsid w:val="00243D9C"/>
    <w:rsid w:val="00247558"/>
    <w:rsid w:val="002C7FDA"/>
    <w:rsid w:val="002E435D"/>
    <w:rsid w:val="00311A4B"/>
    <w:rsid w:val="0032584C"/>
    <w:rsid w:val="00345C9B"/>
    <w:rsid w:val="00381A81"/>
    <w:rsid w:val="0039083F"/>
    <w:rsid w:val="003B0419"/>
    <w:rsid w:val="003E428E"/>
    <w:rsid w:val="003F35DD"/>
    <w:rsid w:val="00431173"/>
    <w:rsid w:val="00443E2E"/>
    <w:rsid w:val="004558DC"/>
    <w:rsid w:val="00456FDA"/>
    <w:rsid w:val="00461C49"/>
    <w:rsid w:val="004972D0"/>
    <w:rsid w:val="004A11BC"/>
    <w:rsid w:val="004B0153"/>
    <w:rsid w:val="00514618"/>
    <w:rsid w:val="0053015C"/>
    <w:rsid w:val="00530DB9"/>
    <w:rsid w:val="00535D98"/>
    <w:rsid w:val="0057073C"/>
    <w:rsid w:val="005763F0"/>
    <w:rsid w:val="005862E0"/>
    <w:rsid w:val="00593FF3"/>
    <w:rsid w:val="005B0254"/>
    <w:rsid w:val="005F76FC"/>
    <w:rsid w:val="00604EB4"/>
    <w:rsid w:val="00647317"/>
    <w:rsid w:val="006559F8"/>
    <w:rsid w:val="00680622"/>
    <w:rsid w:val="006A002F"/>
    <w:rsid w:val="006A7A43"/>
    <w:rsid w:val="006C78EC"/>
    <w:rsid w:val="006D0D6F"/>
    <w:rsid w:val="006D2A8F"/>
    <w:rsid w:val="006E0A2D"/>
    <w:rsid w:val="006F7CD0"/>
    <w:rsid w:val="0072448A"/>
    <w:rsid w:val="0072611C"/>
    <w:rsid w:val="00726996"/>
    <w:rsid w:val="00755D0D"/>
    <w:rsid w:val="00761622"/>
    <w:rsid w:val="00763E45"/>
    <w:rsid w:val="00795A61"/>
    <w:rsid w:val="007C5258"/>
    <w:rsid w:val="007F671D"/>
    <w:rsid w:val="007F7F70"/>
    <w:rsid w:val="00806FF1"/>
    <w:rsid w:val="00823C55"/>
    <w:rsid w:val="00832470"/>
    <w:rsid w:val="00852EC8"/>
    <w:rsid w:val="00874BC8"/>
    <w:rsid w:val="008813B2"/>
    <w:rsid w:val="008A1ED0"/>
    <w:rsid w:val="008A2481"/>
    <w:rsid w:val="008A41A2"/>
    <w:rsid w:val="008C4469"/>
    <w:rsid w:val="008D12D3"/>
    <w:rsid w:val="008D1B9A"/>
    <w:rsid w:val="008D4173"/>
    <w:rsid w:val="008F19F1"/>
    <w:rsid w:val="008F1CFE"/>
    <w:rsid w:val="00903FAC"/>
    <w:rsid w:val="009144F4"/>
    <w:rsid w:val="00916435"/>
    <w:rsid w:val="00941189"/>
    <w:rsid w:val="0095238B"/>
    <w:rsid w:val="00954DF1"/>
    <w:rsid w:val="009863DB"/>
    <w:rsid w:val="009A0F15"/>
    <w:rsid w:val="009D50D5"/>
    <w:rsid w:val="009E4E36"/>
    <w:rsid w:val="009E6CB4"/>
    <w:rsid w:val="009F39A6"/>
    <w:rsid w:val="00A00D0A"/>
    <w:rsid w:val="00A0124A"/>
    <w:rsid w:val="00A07A13"/>
    <w:rsid w:val="00A16AC8"/>
    <w:rsid w:val="00A53569"/>
    <w:rsid w:val="00A56DC5"/>
    <w:rsid w:val="00A71396"/>
    <w:rsid w:val="00A80F59"/>
    <w:rsid w:val="00A87CC3"/>
    <w:rsid w:val="00A93CCF"/>
    <w:rsid w:val="00AE0F6E"/>
    <w:rsid w:val="00B04D3C"/>
    <w:rsid w:val="00B21FA5"/>
    <w:rsid w:val="00B45F39"/>
    <w:rsid w:val="00B501E6"/>
    <w:rsid w:val="00B5276A"/>
    <w:rsid w:val="00B527D8"/>
    <w:rsid w:val="00B666D5"/>
    <w:rsid w:val="00B70003"/>
    <w:rsid w:val="00B70659"/>
    <w:rsid w:val="00B71AC9"/>
    <w:rsid w:val="00BA0C3D"/>
    <w:rsid w:val="00BA150D"/>
    <w:rsid w:val="00BA179A"/>
    <w:rsid w:val="00BA607B"/>
    <w:rsid w:val="00BC3BC9"/>
    <w:rsid w:val="00BD59E6"/>
    <w:rsid w:val="00BE4854"/>
    <w:rsid w:val="00C1341F"/>
    <w:rsid w:val="00C512C1"/>
    <w:rsid w:val="00C526AB"/>
    <w:rsid w:val="00C53851"/>
    <w:rsid w:val="00C5523F"/>
    <w:rsid w:val="00C640D6"/>
    <w:rsid w:val="00C666CB"/>
    <w:rsid w:val="00CC203C"/>
    <w:rsid w:val="00D03468"/>
    <w:rsid w:val="00D14BDF"/>
    <w:rsid w:val="00D202FB"/>
    <w:rsid w:val="00D33E95"/>
    <w:rsid w:val="00D4443A"/>
    <w:rsid w:val="00D6393A"/>
    <w:rsid w:val="00D9014F"/>
    <w:rsid w:val="00D92EA0"/>
    <w:rsid w:val="00E06A68"/>
    <w:rsid w:val="00E50D18"/>
    <w:rsid w:val="00E729C9"/>
    <w:rsid w:val="00E80296"/>
    <w:rsid w:val="00E828AF"/>
    <w:rsid w:val="00E922F3"/>
    <w:rsid w:val="00E94240"/>
    <w:rsid w:val="00EC190A"/>
    <w:rsid w:val="00EC37B1"/>
    <w:rsid w:val="00ED2979"/>
    <w:rsid w:val="00F0090F"/>
    <w:rsid w:val="00F00BC4"/>
    <w:rsid w:val="00F056B3"/>
    <w:rsid w:val="00F23DD1"/>
    <w:rsid w:val="00F366A4"/>
    <w:rsid w:val="00F43BFD"/>
    <w:rsid w:val="00F51417"/>
    <w:rsid w:val="00F73A53"/>
    <w:rsid w:val="00F8118D"/>
    <w:rsid w:val="00F851FD"/>
    <w:rsid w:val="00F90FCD"/>
    <w:rsid w:val="00F9739E"/>
    <w:rsid w:val="00FA6D84"/>
    <w:rsid w:val="00FF53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B6359C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584C"/>
    <w:pPr>
      <w:ind w:left="720"/>
      <w:contextualSpacing/>
    </w:pPr>
  </w:style>
  <w:style w:type="paragraph" w:styleId="NormalWeb">
    <w:name w:val="Normal (Web)"/>
    <w:basedOn w:val="Normal"/>
    <w:uiPriority w:val="99"/>
    <w:unhideWhenUsed/>
    <w:rsid w:val="00F9739E"/>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FF53A9"/>
    <w:rPr>
      <w:color w:val="0000FF" w:themeColor="hyperlink"/>
      <w:u w:val="single"/>
    </w:rPr>
  </w:style>
  <w:style w:type="paragraph" w:styleId="FootnoteText">
    <w:name w:val="footnote text"/>
    <w:basedOn w:val="Normal"/>
    <w:link w:val="FootnoteTextChar"/>
    <w:uiPriority w:val="99"/>
    <w:unhideWhenUsed/>
    <w:rsid w:val="00E922F3"/>
  </w:style>
  <w:style w:type="character" w:customStyle="1" w:styleId="FootnoteTextChar">
    <w:name w:val="Footnote Text Char"/>
    <w:basedOn w:val="DefaultParagraphFont"/>
    <w:link w:val="FootnoteText"/>
    <w:uiPriority w:val="99"/>
    <w:rsid w:val="00E922F3"/>
  </w:style>
  <w:style w:type="character" w:styleId="FootnoteReference">
    <w:name w:val="footnote reference"/>
    <w:basedOn w:val="DefaultParagraphFont"/>
    <w:uiPriority w:val="99"/>
    <w:unhideWhenUsed/>
    <w:rsid w:val="00E922F3"/>
    <w:rPr>
      <w:vertAlign w:val="superscript"/>
    </w:rPr>
  </w:style>
  <w:style w:type="paragraph" w:styleId="Header">
    <w:name w:val="header"/>
    <w:basedOn w:val="Normal"/>
    <w:link w:val="HeaderChar"/>
    <w:uiPriority w:val="99"/>
    <w:unhideWhenUsed/>
    <w:rsid w:val="005763F0"/>
    <w:pPr>
      <w:tabs>
        <w:tab w:val="center" w:pos="4320"/>
        <w:tab w:val="right" w:pos="8640"/>
      </w:tabs>
    </w:pPr>
  </w:style>
  <w:style w:type="character" w:customStyle="1" w:styleId="HeaderChar">
    <w:name w:val="Header Char"/>
    <w:basedOn w:val="DefaultParagraphFont"/>
    <w:link w:val="Header"/>
    <w:uiPriority w:val="99"/>
    <w:rsid w:val="005763F0"/>
  </w:style>
  <w:style w:type="paragraph" w:styleId="Footer">
    <w:name w:val="footer"/>
    <w:basedOn w:val="Normal"/>
    <w:link w:val="FooterChar"/>
    <w:uiPriority w:val="99"/>
    <w:unhideWhenUsed/>
    <w:rsid w:val="005763F0"/>
    <w:pPr>
      <w:tabs>
        <w:tab w:val="center" w:pos="4320"/>
        <w:tab w:val="right" w:pos="8640"/>
      </w:tabs>
    </w:pPr>
  </w:style>
  <w:style w:type="character" w:customStyle="1" w:styleId="FooterChar">
    <w:name w:val="Footer Char"/>
    <w:basedOn w:val="DefaultParagraphFont"/>
    <w:link w:val="Footer"/>
    <w:uiPriority w:val="99"/>
    <w:rsid w:val="005763F0"/>
  </w:style>
  <w:style w:type="character" w:styleId="PageNumber">
    <w:name w:val="page number"/>
    <w:basedOn w:val="DefaultParagraphFont"/>
    <w:uiPriority w:val="99"/>
    <w:semiHidden/>
    <w:unhideWhenUsed/>
    <w:rsid w:val="005763F0"/>
  </w:style>
  <w:style w:type="character" w:styleId="FollowedHyperlink">
    <w:name w:val="FollowedHyperlink"/>
    <w:basedOn w:val="DefaultParagraphFont"/>
    <w:uiPriority w:val="99"/>
    <w:semiHidden/>
    <w:unhideWhenUsed/>
    <w:rsid w:val="00B21FA5"/>
    <w:rPr>
      <w:color w:val="800080" w:themeColor="followedHyperlink"/>
      <w:u w:val="single"/>
    </w:rPr>
  </w:style>
  <w:style w:type="table" w:styleId="TableGrid">
    <w:name w:val="Table Grid"/>
    <w:basedOn w:val="TableNormal"/>
    <w:uiPriority w:val="59"/>
    <w:rsid w:val="00E06A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584C"/>
    <w:pPr>
      <w:ind w:left="720"/>
      <w:contextualSpacing/>
    </w:pPr>
  </w:style>
  <w:style w:type="paragraph" w:styleId="NormalWeb">
    <w:name w:val="Normal (Web)"/>
    <w:basedOn w:val="Normal"/>
    <w:uiPriority w:val="99"/>
    <w:unhideWhenUsed/>
    <w:rsid w:val="00F9739E"/>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FF53A9"/>
    <w:rPr>
      <w:color w:val="0000FF" w:themeColor="hyperlink"/>
      <w:u w:val="single"/>
    </w:rPr>
  </w:style>
  <w:style w:type="paragraph" w:styleId="FootnoteText">
    <w:name w:val="footnote text"/>
    <w:basedOn w:val="Normal"/>
    <w:link w:val="FootnoteTextChar"/>
    <w:uiPriority w:val="99"/>
    <w:unhideWhenUsed/>
    <w:rsid w:val="00E922F3"/>
  </w:style>
  <w:style w:type="character" w:customStyle="1" w:styleId="FootnoteTextChar">
    <w:name w:val="Footnote Text Char"/>
    <w:basedOn w:val="DefaultParagraphFont"/>
    <w:link w:val="FootnoteText"/>
    <w:uiPriority w:val="99"/>
    <w:rsid w:val="00E922F3"/>
  </w:style>
  <w:style w:type="character" w:styleId="FootnoteReference">
    <w:name w:val="footnote reference"/>
    <w:basedOn w:val="DefaultParagraphFont"/>
    <w:uiPriority w:val="99"/>
    <w:unhideWhenUsed/>
    <w:rsid w:val="00E922F3"/>
    <w:rPr>
      <w:vertAlign w:val="superscript"/>
    </w:rPr>
  </w:style>
  <w:style w:type="paragraph" w:styleId="Header">
    <w:name w:val="header"/>
    <w:basedOn w:val="Normal"/>
    <w:link w:val="HeaderChar"/>
    <w:uiPriority w:val="99"/>
    <w:unhideWhenUsed/>
    <w:rsid w:val="005763F0"/>
    <w:pPr>
      <w:tabs>
        <w:tab w:val="center" w:pos="4320"/>
        <w:tab w:val="right" w:pos="8640"/>
      </w:tabs>
    </w:pPr>
  </w:style>
  <w:style w:type="character" w:customStyle="1" w:styleId="HeaderChar">
    <w:name w:val="Header Char"/>
    <w:basedOn w:val="DefaultParagraphFont"/>
    <w:link w:val="Header"/>
    <w:uiPriority w:val="99"/>
    <w:rsid w:val="005763F0"/>
  </w:style>
  <w:style w:type="paragraph" w:styleId="Footer">
    <w:name w:val="footer"/>
    <w:basedOn w:val="Normal"/>
    <w:link w:val="FooterChar"/>
    <w:uiPriority w:val="99"/>
    <w:unhideWhenUsed/>
    <w:rsid w:val="005763F0"/>
    <w:pPr>
      <w:tabs>
        <w:tab w:val="center" w:pos="4320"/>
        <w:tab w:val="right" w:pos="8640"/>
      </w:tabs>
    </w:pPr>
  </w:style>
  <w:style w:type="character" w:customStyle="1" w:styleId="FooterChar">
    <w:name w:val="Footer Char"/>
    <w:basedOn w:val="DefaultParagraphFont"/>
    <w:link w:val="Footer"/>
    <w:uiPriority w:val="99"/>
    <w:rsid w:val="005763F0"/>
  </w:style>
  <w:style w:type="character" w:styleId="PageNumber">
    <w:name w:val="page number"/>
    <w:basedOn w:val="DefaultParagraphFont"/>
    <w:uiPriority w:val="99"/>
    <w:semiHidden/>
    <w:unhideWhenUsed/>
    <w:rsid w:val="005763F0"/>
  </w:style>
  <w:style w:type="character" w:styleId="FollowedHyperlink">
    <w:name w:val="FollowedHyperlink"/>
    <w:basedOn w:val="DefaultParagraphFont"/>
    <w:uiPriority w:val="99"/>
    <w:semiHidden/>
    <w:unhideWhenUsed/>
    <w:rsid w:val="00B21FA5"/>
    <w:rPr>
      <w:color w:val="800080" w:themeColor="followedHyperlink"/>
      <w:u w:val="single"/>
    </w:rPr>
  </w:style>
  <w:style w:type="table" w:styleId="TableGrid">
    <w:name w:val="Table Grid"/>
    <w:basedOn w:val="TableNormal"/>
    <w:uiPriority w:val="59"/>
    <w:rsid w:val="00E06A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746809">
      <w:bodyDiv w:val="1"/>
      <w:marLeft w:val="0"/>
      <w:marRight w:val="0"/>
      <w:marTop w:val="0"/>
      <w:marBottom w:val="0"/>
      <w:divBdr>
        <w:top w:val="none" w:sz="0" w:space="0" w:color="auto"/>
        <w:left w:val="none" w:sz="0" w:space="0" w:color="auto"/>
        <w:bottom w:val="none" w:sz="0" w:space="0" w:color="auto"/>
        <w:right w:val="none" w:sz="0" w:space="0" w:color="auto"/>
      </w:divBdr>
    </w:div>
    <w:div w:id="1033992707">
      <w:bodyDiv w:val="1"/>
      <w:marLeft w:val="0"/>
      <w:marRight w:val="0"/>
      <w:marTop w:val="0"/>
      <w:marBottom w:val="0"/>
      <w:divBdr>
        <w:top w:val="none" w:sz="0" w:space="0" w:color="auto"/>
        <w:left w:val="none" w:sz="0" w:space="0" w:color="auto"/>
        <w:bottom w:val="none" w:sz="0" w:space="0" w:color="auto"/>
        <w:right w:val="none" w:sz="0" w:space="0" w:color="auto"/>
      </w:divBdr>
    </w:div>
    <w:div w:id="1198817012">
      <w:bodyDiv w:val="1"/>
      <w:marLeft w:val="0"/>
      <w:marRight w:val="0"/>
      <w:marTop w:val="0"/>
      <w:marBottom w:val="0"/>
      <w:divBdr>
        <w:top w:val="none" w:sz="0" w:space="0" w:color="auto"/>
        <w:left w:val="none" w:sz="0" w:space="0" w:color="auto"/>
        <w:bottom w:val="none" w:sz="0" w:space="0" w:color="auto"/>
        <w:right w:val="none" w:sz="0" w:space="0" w:color="auto"/>
      </w:divBdr>
    </w:div>
    <w:div w:id="1333677738">
      <w:bodyDiv w:val="1"/>
      <w:marLeft w:val="0"/>
      <w:marRight w:val="0"/>
      <w:marTop w:val="0"/>
      <w:marBottom w:val="0"/>
      <w:divBdr>
        <w:top w:val="none" w:sz="0" w:space="0" w:color="auto"/>
        <w:left w:val="none" w:sz="0" w:space="0" w:color="auto"/>
        <w:bottom w:val="none" w:sz="0" w:space="0" w:color="auto"/>
        <w:right w:val="none" w:sz="0" w:space="0" w:color="auto"/>
      </w:divBdr>
      <w:divsChild>
        <w:div w:id="405225248">
          <w:marLeft w:val="0"/>
          <w:marRight w:val="0"/>
          <w:marTop w:val="0"/>
          <w:marBottom w:val="0"/>
          <w:divBdr>
            <w:top w:val="none" w:sz="0" w:space="0" w:color="auto"/>
            <w:left w:val="none" w:sz="0" w:space="0" w:color="auto"/>
            <w:bottom w:val="none" w:sz="0" w:space="0" w:color="auto"/>
            <w:right w:val="none" w:sz="0" w:space="0" w:color="auto"/>
          </w:divBdr>
          <w:divsChild>
            <w:div w:id="2042122476">
              <w:marLeft w:val="0"/>
              <w:marRight w:val="0"/>
              <w:marTop w:val="0"/>
              <w:marBottom w:val="0"/>
              <w:divBdr>
                <w:top w:val="none" w:sz="0" w:space="0" w:color="auto"/>
                <w:left w:val="none" w:sz="0" w:space="0" w:color="auto"/>
                <w:bottom w:val="none" w:sz="0" w:space="0" w:color="auto"/>
                <w:right w:val="none" w:sz="0" w:space="0" w:color="auto"/>
              </w:divBdr>
              <w:divsChild>
                <w:div w:id="88625107">
                  <w:marLeft w:val="0"/>
                  <w:marRight w:val="0"/>
                  <w:marTop w:val="0"/>
                  <w:marBottom w:val="0"/>
                  <w:divBdr>
                    <w:top w:val="none" w:sz="0" w:space="0" w:color="auto"/>
                    <w:left w:val="none" w:sz="0" w:space="0" w:color="auto"/>
                    <w:bottom w:val="none" w:sz="0" w:space="0" w:color="auto"/>
                    <w:right w:val="none" w:sz="0" w:space="0" w:color="auto"/>
                  </w:divBdr>
                  <w:divsChild>
                    <w:div w:id="114119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697722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dx.doi.org/10.1136%2Fjmg.40.5.e58" TargetMode="External"/><Relationship Id="rId12" Type="http://schemas.openxmlformats.org/officeDocument/2006/relationships/hyperlink" Target="https://www.jstor.org/stable/20394087"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my.clevelandclinic.org/health/diseases/14621-iron-rich-foods-and-anemia/management-and-treatment" TargetMode="External"/><Relationship Id="rId9" Type="http://schemas.openxmlformats.org/officeDocument/2006/relationships/hyperlink" Target="https://doi.org/10.1046/j.1440-6047.1999.00038.x" TargetMode="External"/><Relationship Id="rId10" Type="http://schemas.openxmlformats.org/officeDocument/2006/relationships/hyperlink" Target="http://arh.adam.com/content.aspx?productId=101&amp;pid=1&amp;gid=00348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569</TotalTime>
  <Pages>6</Pages>
  <Words>2321</Words>
  <Characters>13236</Characters>
  <Application>Microsoft Macintosh Word</Application>
  <DocSecurity>0</DocSecurity>
  <Lines>110</Lines>
  <Paragraphs>31</Paragraphs>
  <ScaleCrop>false</ScaleCrop>
  <Company/>
  <LinksUpToDate>false</LinksUpToDate>
  <CharactersWithSpaces>15526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Ellie Pitcher</dc:creator>
  <cp:keywords/>
  <dc:description/>
  <cp:lastModifiedBy>Ellie Pitcher</cp:lastModifiedBy>
  <cp:revision>122</cp:revision>
  <dcterms:created xsi:type="dcterms:W3CDTF">2018-09-12T16:55:00Z</dcterms:created>
  <dcterms:modified xsi:type="dcterms:W3CDTF">2018-12-12T07:20:00Z</dcterms:modified>
</cp:coreProperties>
</file>